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Συμπλήρωση της ΠΟΛ.1113/2015 αναφορικά με τη φορολογική μεταχείριση των ποσών επιστροφής (rebate) που καταβάλλονται κατ’ εφαρμογή των διατάξεων των άρθρων 34 και 35 του ν. 3918/2011, καθώς και των ποσών της αυτόματης επιστροφής (clawback) που καταβάλλονται με βάση τις διατάξεις του άρθρου 11 του ν.4052/2012.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 συμπλήρωση της ΠΟΛ.1113/2015 εγκυκλίου αναφορικά με τη φορολογική μεταχείριση των ποσών επιστροφής (rebate) που καταβάλλονται κατ’ εφαρμογή των διατάξεων των άρθρων 34 και 35 του ν. 3918/2011, καθώς και των ποσών της αυτόματης επιστροφής (clawback) που καταβάλλονται με βάση τις διατάξεις του άρθρου 11 του ν.4052/2012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Περιεχόμενο της εγκυκλίου είναι η αποσαφήνιση του χρόνου έκπτωσης των ποσών επιστροφής (rebate) και αυτόματης επιστροφής (clawback) που καταβάλλονται κατ’ εφαρμογή των διατάξεων των άρθρων 34 και 35 του ν. 3918/2011 και των διατάξεων του άρθρου 11 του ν.4052/2012, αντίστοιχα. Ειδικότερα, διευκρινίζεται ότι έχουν ανάλογη εφαρμογή τα όσα αναφέρονται στην ΠΟΛ.1113/2015 εγκύκλιο μας αναφορικά με τις αντίστοιχες διατάξεις του άρθρου 100 του ν.4172/2013, ήτοι εκπίπτουν κατά το χρόνο που αφορούν εφόσον τα σχετικά </w:t>
      </w:r>
      <w:r>
        <w:rPr>
          <w:b/>
          <w:bCs/>
          <w:u w:val="single"/>
          <w:lang w:val="el" w:eastAsia="el"/>
        </w:rPr>
        <w:t>δικαιολογητικά εκδίδονται ή λαμβάνονται μέχρι την προθεσμία που ορίζεται για την κατάρτιση</w:t>
      </w:r>
    </w:p>
    <w:p>
      <w:pPr>
        <w:spacing w:before="240" w:after="240"/>
        <w:rPr>
          <w:lang w:val="el" w:eastAsia="el"/>
        </w:rPr>
      </w:pPr>
      <w:r>
        <w:rPr>
          <w:b/>
          <w:bCs/>
          <w:lang w:val="el" w:eastAsia="el"/>
        </w:rPr>
        <w:t>των χρηματοοικονομικών καταστάσεων από την</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6 </w:t>
      </w:r>
      <w:r>
        <w:rPr>
          <w:b/>
          <w:bCs/>
          <w:lang w:val="el" w:eastAsia="el"/>
        </w:rPr>
        <w:t>του ν.</w:t>
      </w:r>
      <w:r>
        <w:rPr>
          <w:rStyle w:val="link"/>
          <w:b/>
          <w:bCs/>
          <w:lang w:val="el" w:eastAsia="el"/>
        </w:rPr>
        <w:t xml:space="preserve">4308/2014 </w:t>
      </w:r>
      <w:r>
        <w:rPr>
          <w:b/>
          <w:bCs/>
          <w:lang w:val="el" w:eastAsia="el"/>
        </w:rPr>
        <w:t>και αφορούν την κλειόμενη χρήση. Σε διαφορετική περίπτωση, εκπίπτουν από τα ακαθάριστα έσοδα του έτους εντός του οποίου εκκαθαρίζονται και εκδίδονται τα σχετικά στοιχεία.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ποσά που καταβάλλονται κατ’ εφαρμογή των διατάξεων των άρθρων 34 και 35 του ν. 3918/2011 και των διατάξεων του άρθρου 11 του ν.4052/2012.</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Σύμφωνα με τις διατάξεις του άρθρου 22 του ν. 4172/2013,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b/>
          <w:bCs/>
          <w:lang w:val="el" w:eastAsia="el"/>
        </w:rPr>
        <w:t xml:space="preserve">2. </w:t>
      </w:r>
      <w:r>
        <w:rPr>
          <w:b/>
          <w:bCs/>
          <w:lang w:val="el" w:eastAsia="el"/>
        </w:rPr>
        <w:t>Με την ΠΟΛ.1113/2015 εγκύκλιό μας, με την οποία κοινοποιήθηκαν οι ανωτέρω διατάξεις, διευκρινίσθηκε, μεταξύ άλλων, ότι αναφορικά με το χρόνο έκπτωσης των δαπανών, αυτές εκπίπτουν από τα ακαθάριστα έσοδα του φορολογικού έτους το οποίο αφορούν, με την επιφύλαξη των διατάξεων του άρθρου 23 (π.χ. χρόνος έκπτωσης ασφαλιστικών εισφορών, κ.λπ.). Οι δαπάνες των οποίων τα δικαιολογητικά εκδίδονται ή λαμβάνονται έως την ημερομηνία κλεισίματος του ισολογισμού και αφορούν την κλειόμενη χρήση επίσης εκπίπτουν από τα ακαθάριστα έσοδα του έτους που αφορούν. Συνεπώς, λαμβάνονται υπόψη οι δαπάνες των οποίων τα δικαιολογητικά εκδίδονται ή λαμβάνονται μέχρι την προθεσμία που ορίζεται για την κατάρτιση των χρηματοοικονομικών καταστάσεων από την</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6 </w:t>
      </w:r>
      <w:r>
        <w:rPr>
          <w:b/>
          <w:bCs/>
          <w:lang w:val="el" w:eastAsia="el"/>
        </w:rPr>
        <w:t>του ν.</w:t>
      </w:r>
      <w:r>
        <w:rPr>
          <w:rStyle w:val="link"/>
          <w:b/>
          <w:bCs/>
          <w:lang w:val="el" w:eastAsia="el"/>
        </w:rPr>
        <w:t xml:space="preserve">4308/2014 </w:t>
      </w:r>
      <w:r>
        <w:rPr>
          <w:b/>
          <w:bCs/>
          <w:lang w:val="el" w:eastAsia="el"/>
        </w:rPr>
        <w:t>(Α' 251) (σχετ: Ε.2110/2021 εγκύκλιος).</w:t>
      </w:r>
    </w:p>
    <w:p>
      <w:pPr>
        <w:spacing w:before="240" w:after="240"/>
        <w:rPr>
          <w:lang w:val="el" w:eastAsia="el"/>
        </w:rPr>
      </w:pPr>
      <w:r>
        <w:rPr>
          <w:b/>
          <w:bCs/>
          <w:lang w:val="el" w:eastAsia="el"/>
        </w:rPr>
        <w:t xml:space="preserve">3. </w:t>
      </w:r>
      <w:r>
        <w:rPr>
          <w:b/>
          <w:bCs/>
          <w:lang w:val="el" w:eastAsia="el"/>
        </w:rPr>
        <w:t>Επίσης. με την ΠΟΛ.1113/2015 διευκρινίσθηκε ότι όσον αφορά στα ποσά εκπτώσεων που χορηγούνται από τους συμβεβλημένους ιδιώτες παρόχους υπηρεσιών υγείας προς τον ΕΟΠΥΥ κατ' εφαρμογή του μηχανισμού αυτόματης πληρωμής (clawback) και του κλιμακούμενου ποσοστού επί των ποσοστών του ΕΟΠΥΥ (rebate) με βάση τις διατάξεις των παραγράφων 1 και 5 του άρθρου 100 του ν.4172/2013, αυτά μειώνουν τα ακαθάριστα έσοδα του έτους εντός του οποίου εκκαθαρίζονται και εκδίδονται τα σχετικά στοιχεία.</w:t>
      </w:r>
    </w:p>
    <w:p>
      <w:pPr>
        <w:spacing w:before="240" w:after="240"/>
        <w:rPr>
          <w:lang w:val="el" w:eastAsia="el"/>
        </w:rPr>
      </w:pPr>
      <w:r>
        <w:rPr>
          <w:b/>
          <w:bCs/>
          <w:lang w:val="el" w:eastAsia="el"/>
        </w:rPr>
        <w:t xml:space="preserve">4. </w:t>
      </w:r>
      <w:r>
        <w:rPr>
          <w:b/>
          <w:bCs/>
          <w:lang w:val="el" w:eastAsia="el"/>
        </w:rPr>
        <w:t>Με τις διατάξεις των άρθρων 34 και 35 του ν.3918/2011 καθιερώνεται ποσό επιστροφής (rebate) από ιδιωτικά φαρμακεία και ποσό έκπτωσης (rebate) των φαρμακευτικών εταιρειών προς τους Φορείς Κοινωνικής Ασφάλισης (Φ.Κ.Α.), αντίστοιχα. Επίσης, με τις διατάξεις του άρθρου 11 του ν.4052/2012 καθορίζεται η μηνιαία φαρμακευτική δαπάνη των Φ.Κ.Α. και των φαρμακευτικών εταιρειών (clawback).</w:t>
      </w:r>
    </w:p>
    <w:p>
      <w:pPr>
        <w:spacing w:before="240" w:after="240"/>
        <w:rPr>
          <w:lang w:val="el" w:eastAsia="el"/>
        </w:rPr>
      </w:pPr>
      <w:r>
        <w:rPr>
          <w:b/>
          <w:bCs/>
          <w:lang w:val="el" w:eastAsia="el"/>
        </w:rPr>
        <w:t xml:space="preserve">5. </w:t>
      </w:r>
      <w:r>
        <w:rPr>
          <w:b/>
          <w:bCs/>
          <w:lang w:val="el" w:eastAsia="el"/>
        </w:rPr>
        <w:t>Από τα ανωτέρω προκύπτει ότι οι διατάξεις των άρθρων 34 και 35 του ν. 3918/2011, όπως ισχύουν και του άρθρου 11 του ν.4052/2012, οι οποίες καθορίζουν ποσά επιστροφής (rebate) και αυτόματης επιστροφής (clawback) που καταβάλλονται από ιδιωτικά φαρμακεία, φαρμακευτικές εταιρείες και Φ.Κ.Α., είναι αντίστοιχες των διατάξεων του άρθρου 100 του ν.4172/2013 οι οποίες εφαρμόζονται σε παρόχους υγείας.</w:t>
      </w:r>
    </w:p>
    <w:p>
      <w:pPr>
        <w:spacing w:before="240" w:after="240"/>
        <w:rPr>
          <w:lang w:val="el" w:eastAsia="el"/>
        </w:rPr>
      </w:pPr>
      <w:r>
        <w:rPr>
          <w:b/>
          <w:bCs/>
          <w:lang w:val="el" w:eastAsia="el"/>
        </w:rPr>
        <w:t>Συνεπώς, αναφορικά με τον χρόνο έκπτωσης των ποσών επιστροφής (rebate) και αυτόματης επιστροφής (clawback) που καταβάλλονται κατ’ εφαρμογή των διατάξεων των άρθρων 34 και 35 του ν. 3918/2011 και των διατάξεων του άρθρου 11 του ν.4052/2012, αντίστοιχα, έχουν ανάλογη εφαρμογή τα όσα αναφέρονται στην ΠΟΛ.1113/2015 εγκύκλιο μας αναφορικά με τις αντίστοιχες διατάξεις του άρθρου 100 του ν.4172/2013, ήτοι εκπίπτουν κατά το χρόνο που αφορούν εφόσον τα σχετικά δικαιολογητικά εκδίδονται ή λαμβάνονται μέχρι την προθεσμία που ορίζεται για την κατάρτιση των χρηματοοικονομικών καταστάσεων από την</w:t>
      </w:r>
      <w:r>
        <w:rPr>
          <w:rStyle w:val="link"/>
          <w:b/>
          <w:bCs/>
          <w:lang w:val="el" w:eastAsia="el"/>
        </w:rPr>
        <w:t xml:space="preserve"> παρ.</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6 </w:t>
      </w:r>
      <w:r>
        <w:rPr>
          <w:b/>
          <w:bCs/>
          <w:lang w:val="el" w:eastAsia="el"/>
        </w:rPr>
        <w:t>του ν.</w:t>
      </w:r>
      <w:r>
        <w:rPr>
          <w:rStyle w:val="link"/>
          <w:b/>
          <w:bCs/>
          <w:lang w:val="el" w:eastAsia="el"/>
        </w:rPr>
        <w:t xml:space="preserve">4308/2014 </w:t>
      </w:r>
      <w:r>
        <w:rPr>
          <w:b/>
          <w:bCs/>
          <w:lang w:val="el" w:eastAsia="el"/>
        </w:rPr>
        <w:t>και αφορούν την κλειόμενη χρήση. Σε διαφορετική περίπτωση, εκπίπτουν από τα ακαθάριστα έσοδα του έτους εντός του οποίου εκκαθαρίζονται και εκδίδονται τα σχετικά στοιχεία.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 xml:space="preserve">4.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5. </w:t>
      </w:r>
      <w:r>
        <w:rPr>
          <w:b/>
          <w:bCs/>
          <w:lang w:val="el" w:eastAsia="el"/>
        </w:rPr>
        <w:t>Επιχειρησιακή Δ/νση ΣΔΟΕ Αττικής και Επιχειρησιακή Δ/νση ΣΔΟΕ Μακεδονίας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Γενικής Γραμματείας Φορολογικής Πολιτικής &amp;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10181 Αθήνα</w:t>
      </w:r>
    </w:p>
    <w:p>
      <w:pPr>
        <w:spacing w:before="240" w:after="240"/>
        <w:rPr>
          <w:lang w:val="el" w:eastAsia="el"/>
        </w:rPr>
      </w:pPr>
      <w:r>
        <w:rPr>
          <w:b/>
          <w:bCs/>
          <w:lang w:val="el" w:eastAsia="el"/>
        </w:rPr>
        <w:t xml:space="preserve">8. </w:t>
      </w:r>
      <w:r>
        <w:rPr>
          <w:b/>
          <w:bCs/>
          <w:lang w:val="el" w:eastAsia="el"/>
        </w:rPr>
        <w:t>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 ΑΑΔΕ</w:t>
      </w:r>
    </w:p>
    <w:p>
      <w:pPr>
        <w:spacing w:before="240" w:after="240"/>
        <w:rPr>
          <w:lang w:val="el" w:eastAsia="el"/>
        </w:rPr>
      </w:pPr>
      <w:r>
        <w:rPr>
          <w:b/>
          <w:bCs/>
          <w:lang w:val="el" w:eastAsia="el"/>
        </w:rPr>
        <w:t xml:space="preserve">4. </w:t>
      </w:r>
      <w:r>
        <w:rPr>
          <w:b/>
          <w:bCs/>
          <w:lang w:val="el" w:eastAsia="el"/>
        </w:rPr>
        <w:t>Διεύθυνση Εφαρμογής Άμεσης Φορολογίας – Τμήματα Α΄, Β΄, Γ΄</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