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 Δ/ΝΣΗ ΦΟΡΟΛΟΓΙΚΗΣ ΔΙΟΙΚΗΣΗΣ</w:t>
      </w:r>
    </w:p>
    <w:p>
      <w:pPr>
        <w:pStyle w:val="PreambelText"/>
        <w:spacing w:before="240" w:after="240"/>
        <w:rPr>
          <w:lang w:val="el" w:eastAsia="el"/>
        </w:rPr>
      </w:pPr>
      <w:r>
        <w:rPr>
          <w:lang w:val="el" w:eastAsia="el"/>
        </w:rPr>
        <w:t xml:space="preserve">1. </w:t>
      </w:r>
      <w:r>
        <w:rPr>
          <w:b/>
          <w:bCs/>
          <w:lang w:val="el" w:eastAsia="el"/>
        </w:rPr>
        <w:t>Δ/ΝΣΗ ΕΦΑΡΜΟΓΗΣ ΕΜΜΕΣΗΣ ΦΟΡΟΛΟΓΙΑΣ - ΤΜΗΜΑ Α΄ Φ.Π.Α.</w:t>
      </w:r>
    </w:p>
    <w:p>
      <w:pPr>
        <w:pStyle w:val="PreambelText"/>
        <w:spacing w:before="240" w:after="240"/>
        <w:rPr>
          <w:lang w:val="el" w:eastAsia="el"/>
        </w:rPr>
      </w:pPr>
      <w:r>
        <w:rPr>
          <w:lang w:val="el" w:eastAsia="el"/>
        </w:rPr>
        <w:t xml:space="preserve">2. </w:t>
      </w:r>
      <w:r>
        <w:rPr>
          <w:b/>
          <w:bCs/>
          <w:lang w:val="el" w:eastAsia="el"/>
        </w:rPr>
        <w:t>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 Φ.Π.Α. ΕΙΣΑΓΩΓΩΝ -</w:t>
      </w:r>
    </w:p>
    <w:p>
      <w:pPr>
        <w:spacing w:before="240" w:after="240"/>
        <w:rPr>
          <w:lang w:val="el" w:eastAsia="el"/>
        </w:rPr>
      </w:pPr>
      <w:r>
        <w:rPr>
          <w:b/>
          <w:bCs/>
          <w:lang w:val="el" w:eastAsia="el"/>
        </w:rPr>
        <w:t>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5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w:t>
            </w:r>
            <w:r>
              <w:rPr>
                <w:b/>
                <w:bCs/>
                <w:i w:val="0"/>
                <w:iCs w:val="0"/>
                <w:smallCaps w:val="0"/>
                <w:color w:val="000000"/>
                <w:lang w:val="el" w:eastAsia="el"/>
              </w:rPr>
              <w:t xml:space="preserve">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w:t>
            </w:r>
          </w:p>
          <w:p>
            <w:pPr>
              <w:spacing w:before="240"/>
              <w:rPr>
                <w:b w:val="0"/>
                <w:bCs w:val="0"/>
                <w:i w:val="0"/>
                <w:iCs w:val="0"/>
                <w:smallCaps w:val="0"/>
                <w:color w:val="000000"/>
                <w:lang w:val="el" w:eastAsia="el"/>
              </w:rPr>
            </w:pPr>
            <w:r>
              <w:rPr>
                <w:b/>
                <w:bCs/>
                <w:i w:val="0"/>
                <w:iCs w:val="0"/>
                <w:smallCaps w:val="0"/>
                <w:color w:val="000000"/>
                <w:lang w:val="el" w:eastAsia="el"/>
              </w:rPr>
              <w:t>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w:t>
            </w:r>
            <w:r>
              <w:rPr>
                <w:b/>
                <w:bCs/>
                <w:i w:val="0"/>
                <w:iCs w:val="0"/>
                <w:smallCaps w:val="0"/>
                <w:color w:val="000000"/>
                <w:lang w:val="el" w:eastAsia="el"/>
              </w:rPr>
              <w:t xml:space="preserve"> 10676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deef.a@aade.gr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Απαλλαγή από Φόρο Προστιθέμενης Αξίας (ΦΠΑ) του Κέντρου Αριστείας Ενοποιημένης Αντιαεροπορικής Αντιπυραυλικής Άμυνας (ΚΕΑΡ ΕΝΑΑΑΜ - IAMD CoE), που εδρεύει στα Χανιά ως διαπιστευμένη Νατοϊκή Στρατιωτική Οντότητα (ΝΑΤΟ Military Body, ν. 4833/2021, (Α’174) και 4834/2021, (Α’ 175)) σύμφωνα με την ΑΥΟ ΠΟΛ 1196/1993 (Β' 408) «Απαλλαγή από το φόρο προστιθέμενης αξίας (Φ.Π.Α.) των ενόπλων δυνάμεων του ΝΑΤΟ»</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για την εφαρμογή των διατάξεων της ΑΥΟ ΠΟΛ 1196/93 (Β' 408) με τίτλο «Απαλλαγή από το φόρο προστιθέμενης αξίας (Φ.Π.Α.) των ενόπλων δυνάμεων του ΝΑΤΟ» στο Κέντρο Αριστείας Ενοποιημένης Αντιαεροπορικής Αντιπυραυλικής Άμυνας (ΚΕΑΡ ΕΝΑΑΑΜ - IAMD CoE) που εδρεύει στα Χανιά.</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αποσαφηνίζεται ότι κατόπιν της ψήφισης του ν. 4833/2021 (Α' 174) και του ν.4834/2021 (Α' 175), το Κέντρο Αριστείας Ενοποιημένης Αντιαεροπορικής Αντιπυραυλικής Άμυνας (ΚΕΑΡ ΕΝΑΑΑΜ - IAMD CoE), δύναται να ενταχθεί στο πεδίο εφαρμογής των απαλλαγών από ΦΠΑ που ορίζονται στις διατάξεις της υποπερίπτωσης γγ΄ της περίπτωσης στ΄ της παραγράφου 1 του άρθρου 27 του Κώδικα ΦΠΑ (ν.2859/2000) ακολουθώντας τις διαδικασίες που ορίζονται στην ΑΥΟ ΠΟΛ 1196/93 (Β' 408).</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παρέχει απαραίτητες διευκρινίσεις στους υποκείμενους που εφαρμόζουν την ΑΥΟ ΠΟΛ 1196/93 (Β' 408) που αφορά στην απαλλαγή από Φ.Π.Α. των ενόπλων δυνάμεων του ΝΑΤΟ, ώστε να χορηγούν την εν λόγω απαλλαγή με τους ίδιους όρους και στο Κέντρο Αριστείας Ενοποιημένης Αντιαεροπορικής Αντιπυραυλικής Άμυνας (ΚΕΑΡ ΕΝΑΑΑΜ - IAMD CoE).</w:t>
      </w:r>
    </w:p>
    <w:p>
      <w:pPr>
        <w:spacing w:before="240" w:after="240"/>
        <w:rPr>
          <w:lang w:val="el" w:eastAsia="el"/>
        </w:rPr>
      </w:pPr>
      <w:r>
        <w:rPr>
          <w:b/>
          <w:bCs/>
          <w:lang w:val="el" w:eastAsia="el"/>
        </w:rPr>
        <w:t>Με την ψήφιση του ν. 4833/2021 (Α' 174) και του ν. 4834/2021 (Α' 175), κυρώθηκαν τα Μνημόνια Κατανόησης αναφορικά με τη σύσταση και ίδρυση του Κέντρου Αριστείας Ενοποιημένης Αντιαεροπορικής Αντιπυραυλικής Άμυνας (ΚΕΑΡ ΕΝΑΑΑΜ - IAMD CoE), που εδρεύει στα Χανιά και έχει διαπιστευτεί ως Νατοϊκή Στρατιωτική Οντότητα (ΝΑΤΟ Military Body) βάσει σχετικής απόφασης του Συμβουλίου της Βορειοατλαντικής Συμμαχίας στις 25 Ιανουαρίου 2021.</w:t>
      </w:r>
    </w:p>
    <w:p>
      <w:pPr>
        <w:spacing w:before="240" w:after="240"/>
        <w:rPr>
          <w:lang w:val="el" w:eastAsia="el"/>
        </w:rPr>
      </w:pPr>
      <w:r>
        <w:rPr>
          <w:b/>
          <w:bCs/>
          <w:lang w:val="el" w:eastAsia="el"/>
        </w:rPr>
        <w:t>Κατόπιν της ψήφισης των ανωτέρω νόμων, η εν λόγω οντότητα του ΝΑΤΟ εμπίπτει στο πεδίο εφαρμογής των απαλλαγών από ΦΠΑ που ορίζονται στις διατάξεις της υποπερίπτωσης γγ΄της περίπτωσης στ΄της παραγράφου 1 του άρθρου 27 του Κώδικα ΦΠΑ (ν. 2859/2000 και συνακόλουθα εφαρμόζονται οι διαδικασίες που ορίζονται στην ΑΥΟ ΠΟΛ 1196/93 (ΦΕΚ Β' 408) «Απαλλαγή από το φόρο προστιθέμενης αξίας (Φ.Π.Α.) των ενόπλων δυνάμεων του ΝΑΤΟ».</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lang w:val="el" w:eastAsia="el"/>
        </w:rPr>
        <w:t>ΠΙΝΑΚΑΣ ΔΙΑΝΟΜΗΣ ΑΠΟΔΕΚΤΕΣ ΓΙΑ ΕΝΕΡΓΕΙΑ</w:t>
      </w:r>
    </w:p>
    <w:p>
      <w:pPr>
        <w:spacing w:before="240" w:after="240"/>
        <w:rPr>
          <w:lang w:val="el" w:eastAsia="el"/>
        </w:rPr>
      </w:pPr>
      <w:r>
        <w:rPr>
          <w:lang w:val="el" w:eastAsia="el"/>
        </w:rPr>
        <w:t xml:space="preserve">1. </w:t>
      </w:r>
      <w:r>
        <w:rPr>
          <w:b/>
          <w:bCs/>
          <w:lang w:val="el" w:eastAsia="el"/>
        </w:rPr>
        <w:t>Αποδέκτες Πίνακα Γ΄, μόνο οι αριθμ. 3 έως 6.</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2894"/>
        <w:gridCol w:w="32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37"/>
        <w:gridCol w:w="437"/>
        <w:gridCol w:w="57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αριθ.4 περ. δ΄,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r>
    </w:tbl>
    <w:p>
      <w:pPr>
        <w:spacing w:before="240" w:after="240"/>
        <w:rPr>
          <w:lang w:val="el" w:eastAsia="el"/>
        </w:rPr>
      </w:pPr>
      <w:r>
        <w:rPr>
          <w:lang w:val="el" w:eastAsia="el"/>
        </w:rPr>
        <w:t xml:space="preserve">11. </w:t>
      </w:r>
      <w:r>
        <w:rPr>
          <w:b/>
          <w:bCs/>
          <w:lang w:val="el" w:eastAsia="el"/>
        </w:rPr>
        <w:t>Γραφείο Υπουργού Οικονομικών</w:t>
      </w:r>
    </w:p>
    <w:p>
      <w:pPr>
        <w:spacing w:before="240" w:after="240"/>
        <w:rPr>
          <w:lang w:val="el" w:eastAsia="el"/>
        </w:rPr>
      </w:pPr>
      <w:r>
        <w:rPr>
          <w:lang w:val="el" w:eastAsia="el"/>
        </w:rPr>
        <w:t xml:space="preserve">12. </w:t>
      </w:r>
      <w:r>
        <w:rPr>
          <w:b/>
          <w:bCs/>
          <w:lang w:val="el" w:eastAsia="el"/>
        </w:rPr>
        <w:t>Γραφείο Υφυπουργού Οικονομικών.</w:t>
      </w:r>
    </w:p>
    <w:p>
      <w:pPr>
        <w:spacing w:before="240" w:after="240"/>
        <w:rPr>
          <w:lang w:val="el" w:eastAsia="el"/>
        </w:rPr>
      </w:pPr>
      <w:r>
        <w:rPr>
          <w:lang w:val="el" w:eastAsia="el"/>
        </w:rPr>
        <w:t xml:space="preserve">13. </w:t>
      </w:r>
      <w:r>
        <w:rPr>
          <w:b/>
          <w:bCs/>
          <w:lang w:val="el" w:eastAsia="el"/>
        </w:rPr>
        <w:t>Γραφείο Γεν. Γραμματέα Οικονομικής Πολιτικής.</w:t>
      </w:r>
    </w:p>
    <w:p>
      <w:pPr>
        <w:spacing w:before="240" w:after="240"/>
        <w:rPr>
          <w:lang w:val="el" w:eastAsia="el"/>
        </w:rPr>
      </w:pPr>
      <w:r>
        <w:rPr>
          <w:lang w:val="el" w:eastAsia="el"/>
        </w:rPr>
        <w:t xml:space="preserve">14. </w:t>
      </w:r>
      <w:r>
        <w:rPr>
          <w:b/>
          <w:bCs/>
          <w:lang w:val="el" w:eastAsia="el"/>
        </w:rPr>
        <w:t>Γραφείο Γεν. Γραμματέα Πληρ. Συστημάτων Δημόσιας Διοίκησης.</w:t>
      </w:r>
    </w:p>
    <w:p>
      <w:pPr>
        <w:spacing w:before="240" w:after="240"/>
        <w:rPr>
          <w:lang w:val="el" w:eastAsia="el"/>
        </w:rPr>
      </w:pPr>
      <w:r>
        <w:rPr>
          <w:lang w:val="el" w:eastAsia="el"/>
        </w:rPr>
        <w:t xml:space="preserve">15. </w:t>
      </w:r>
      <w:r>
        <w:rPr>
          <w:b/>
          <w:bCs/>
          <w:lang w:val="el" w:eastAsia="el"/>
        </w:rPr>
        <w:t>Γραφείο Γεν. Γραμματέα Φορολογικής Πολιτικής και Δημόσιας Περιουσίας.</w:t>
      </w:r>
    </w:p>
    <w:p>
      <w:pPr>
        <w:spacing w:before="240" w:after="240"/>
        <w:rPr>
          <w:lang w:val="el" w:eastAsia="el"/>
        </w:rPr>
      </w:pPr>
      <w:r>
        <w:rPr>
          <w:lang w:val="el" w:eastAsia="el"/>
        </w:rPr>
        <w:t xml:space="preserve">16. </w:t>
      </w:r>
      <w:r>
        <w:rPr>
          <w:b/>
          <w:bCs/>
          <w:lang w:val="el" w:eastAsia="el"/>
        </w:rPr>
        <w:t>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