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ΕΙΣΑΓΩΓΩΝ-ΕΞΑΓΩΓΩΝ</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Αθήνα 2132122400</w:t>
      </w:r>
    </w:p>
    <w:p>
      <w:pPr>
        <w:spacing w:before="240" w:after="240"/>
        <w:rPr>
          <w:lang w:val="el" w:eastAsia="el"/>
        </w:rPr>
      </w:pPr>
      <w:r>
        <w:rPr>
          <w:b/>
          <w:bCs/>
          <w:lang w:val="el" w:eastAsia="el"/>
        </w:rPr>
        <w:t xml:space="preserve">210 6987417 </w:t>
      </w:r>
      <w:hyperlink r:id="rId4" w:history="1">
        <w:r>
          <w:rPr>
            <w:rStyle w:val="Hyperlink"/>
            <w:b/>
            <w:bCs/>
            <w:color w:val="0000EE"/>
            <w:u w:color="0000EE"/>
            <w:lang w:val="el" w:eastAsia="el"/>
          </w:rPr>
          <w:t xml:space="preserve">deef .a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vat-customs@ 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Κοινοποίηση του καταλόγου των χρυσών νομισμάτων που πληρούν τα κριτήρια του επενδυτικού χρυσού σύμφωνα με το άρθρο 47 του Κώδικα ΦΠΑ (ν. 2859/2000) με ισχύ για το έτος 2022.</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κοινοποίηση του καταλόγου των χρυσών νομισμάτων που πληρούν τα κριτήρια του επενδυτικού χρυσού σύμφωνα με το άρθρο 47 του Κώδικα ΦΠΑ (ν. 2859/2000) με ισχύ για το έτος 2022.</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εγκύκλιο κοινοποιείται ο κατάλογος των χρυσών νομισμάτων που πληρούν τα κριτήρια που καθορίζονται στην περίπτωση β΄, της παραγράφου 2, του άρθρου 47 του Κώδικα ΦΠΑ, με ισχύ για το έτος 2022 και υπενθυμίζεται η υποχρέωση των υποκείμενων κάθε έτος να υποβάλλουν στην Ανεξάρτητη Αρχή Δημοσίων Εσόδων και ειδικότερα στο Τμήμα Α΄ «ΦΠΑ» της Διεύθυνσης Εφαρμογής Έμμεσης Φορολογίας κατάλογο των νομισμάτων που πούλησαν.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υποκείμενοι στο φόρο στην περίπτωση πωλήσεων χρυσών νομισμάτων που πληρούν τα κριτήρια της περίπτωσης β΄, της παραγράφου 2, του άρθρου 47 του Κώδικα ΦΠΑ.</w:t>
      </w:r>
    </w:p>
    <w:p>
      <w:pPr>
        <w:spacing w:before="240" w:after="240"/>
        <w:rPr>
          <w:lang w:val="el" w:eastAsia="el"/>
        </w:rPr>
      </w:pPr>
      <w:r>
        <w:rPr>
          <w:b/>
          <w:bCs/>
          <w:u w:val="single"/>
          <w:lang w:val="el" w:eastAsia="el"/>
        </w:rPr>
        <w:t>Σας κοινοποιούμε, συνημμένα, στην ελληνική γλώσσα, τον κατάλογο των χρυσών νομισμάτων που πληρούν τα κριτήρια που καθορίζονται στην περίπτωση β΄, της παραγράφου 2, του άρθρου 47 του Κώδικα ΦΠΑ (ν. 2859/2000), (αντίστοιχη διάταξη άρθρο 344, παράγραφος 1, σημείο 2 της οδηγίας 2006/112/ΕΚ του Συμβουλίου), σχετικά με το ειδικό καθεστώς απαλλαγής από τον φόρο προστιθεμένης αξίας του επενδυτικού χρυσού, όπως δημοσιεύθηκε στην Επίσημη Εφημερίδα της Ευρωπαϊκής Ένωσης (τεύχος 2021/C 446/06, έκδοση στις 3.11.2021) και ισχύει για το έτος 2022.</w:t>
      </w:r>
    </w:p>
    <w:p>
      <w:pPr>
        <w:spacing w:before="240" w:after="240"/>
        <w:rPr>
          <w:lang w:val="el" w:eastAsia="el"/>
        </w:rPr>
      </w:pPr>
      <w:r>
        <w:rPr>
          <w:b/>
          <w:bCs/>
          <w:u w:val="single"/>
          <w:lang w:val="el" w:eastAsia="el"/>
        </w:rPr>
        <w:t>Όπως αναφέρεται και στο επεξηγηματικό σημείωμα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Επισημαίνεται ότι,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b/>
          <w:bCs/>
          <w:u w:val="single"/>
          <w:lang w:val="el" w:eastAsia="el"/>
        </w:rPr>
        <w:t>Για την εφαρμογή του ειδικού καθεστώτος επενδυτικού χρυσού του άρθρου 47 του Κώδικα ΦΠΑ, έχουν εκδοθεί οι ΠΟΛ. 1193/2002 (932 Β΄) και Δ. 1829/1124/2006 (1851 Β΄) αποφάσεις του Υπουργού Οικονομίας και Οικονομικών, καθώς και η με αριθ. Δ. 47/24/2007 σχετική εγκύκλιος.</w:t>
      </w:r>
    </w:p>
    <w:p>
      <w:pPr>
        <w:spacing w:before="240" w:after="240"/>
        <w:rPr>
          <w:lang w:val="el" w:eastAsia="el"/>
        </w:rPr>
      </w:pPr>
      <w:r>
        <w:rPr>
          <w:b/>
          <w:bCs/>
          <w:u w:val="single"/>
          <w:lang w:val="el" w:eastAsia="el"/>
        </w:rPr>
        <w:t>Τέλος, υπενθυμίζεται ότι σύμφωνα με το τρίτο εδάφιο της παραγράφου 5 του άρθρου 47 του Κώδικα ΦΠΑ, στην περίπτωση πωλήσεων χρυσών νομισμάτων που πληρούν τα κριτήρια της περίπτωσης β’, της παραγράφου 2, του άρθρου 47 του ίδιου Κώδικα, υφίσταται η υποχρέωση των υποκείμενων κάθε έτος να υποβάλλουν στην Ανεξάρτητη Αρχή Δημοσίων Εσόδων και ειδικότερα στο Τμήμα Α΄ «ΦΠΑ» της Διεύθυνσης Εφαρμογής Έμμεσης Φορολογίας κατάλογο των νομισμάτων που πούλησαν, συμπληρωμένο με τα αναγνωριστικά στοιχεία των νομισμάτων αυτών (μικτό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1ης Απριλίου εκάστου έτους.</w:t>
      </w:r>
    </w:p>
    <w:p>
      <w:pPr>
        <w:spacing w:before="240" w:after="240"/>
        <w:rPr>
          <w:lang w:val="el" w:eastAsia="el"/>
        </w:rPr>
      </w:pPr>
      <w:r>
        <w:rPr>
          <w:b/>
          <w:bCs/>
          <w:u w:val="single"/>
          <w:lang w:val="el" w:eastAsia="el"/>
        </w:rPr>
        <w:t>Συνημμένα: δεκαεννιά (19) σελίδες</w:t>
      </w:r>
    </w:p>
    <w:p>
      <w:pPr>
        <w:spacing w:before="240" w:after="240"/>
        <w:rPr>
          <w:lang w:val="el" w:eastAsia="el"/>
        </w:rPr>
      </w:pPr>
      <w:r>
        <w:rPr>
          <w:b/>
          <w:bCs/>
          <w:u w:val="single"/>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 1 και 2</w:t>
      </w:r>
    </w:p>
    <w:p>
      <w:pPr>
        <w:spacing w:before="240" w:after="240"/>
        <w:rPr>
          <w:lang w:val="el" w:eastAsia="el"/>
        </w:rPr>
      </w:pPr>
      <w:r>
        <w:rPr>
          <w:u w:val="single"/>
          <w:lang w:val="el" w:eastAsia="el"/>
        </w:rPr>
        <w:t xml:space="preserve">2. </w:t>
      </w:r>
      <w:r>
        <w:rPr>
          <w:b/>
          <w:bCs/>
          <w:u w:val="single"/>
          <w:lang w:val="el" w:eastAsia="el"/>
        </w:rPr>
        <w:t>Αποδέκτες Πίνακα Δ΄ μόνο αριθ. 5</w:t>
      </w:r>
    </w:p>
    <w:p>
      <w:pPr>
        <w:spacing w:before="240" w:after="240"/>
        <w:rPr>
          <w:lang w:val="el" w:eastAsia="el"/>
        </w:rPr>
      </w:pPr>
      <w:r>
        <w:rPr>
          <w:u w:val="single"/>
          <w:lang w:val="el" w:eastAsia="el"/>
        </w:rPr>
        <w:t xml:space="preserve">3. </w:t>
      </w:r>
      <w:r>
        <w:rPr>
          <w:b/>
          <w:bCs/>
          <w:u w:val="single"/>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4. </w:t>
      </w:r>
      <w:r>
        <w:rPr>
          <w:b/>
          <w:bCs/>
          <w:u w:val="single"/>
          <w:lang w:val="el" w:eastAsia="el"/>
        </w:rPr>
        <w:t>Αποδέκτες Πίνακα Α΄ μόνο οι αριθ. 1 και 4</w:t>
      </w:r>
    </w:p>
    <w:p>
      <w:pPr>
        <w:spacing w:before="240" w:after="240"/>
        <w:rPr>
          <w:lang w:val="el" w:eastAsia="el"/>
        </w:rPr>
      </w:pPr>
      <w:r>
        <w:rPr>
          <w:u w:val="single"/>
          <w:lang w:val="el" w:eastAsia="el"/>
        </w:rPr>
        <w:t xml:space="preserve">5. </w:t>
      </w:r>
      <w:r>
        <w:rPr>
          <w:b/>
          <w:bCs/>
          <w:u w:val="single"/>
          <w:lang w:val="el" w:eastAsia="el"/>
        </w:rPr>
        <w:t>Αποδέκτες Πίνακα Β΄</w:t>
      </w:r>
    </w:p>
    <w:p>
      <w:pPr>
        <w:spacing w:before="240" w:after="240"/>
        <w:rPr>
          <w:lang w:val="el" w:eastAsia="el"/>
        </w:rPr>
      </w:pPr>
      <w:r>
        <w:rPr>
          <w:u w:val="single"/>
          <w:lang w:val="el" w:eastAsia="el"/>
        </w:rPr>
        <w:t xml:space="preserve">6. </w:t>
      </w:r>
      <w:r>
        <w:rPr>
          <w:b/>
          <w:bCs/>
          <w:u w:val="single"/>
          <w:lang w:val="el" w:eastAsia="el"/>
        </w:rPr>
        <w:t>Αποδέκτες Πίνακα Γ΄ οι αριθ. 1 και 2</w:t>
      </w:r>
    </w:p>
    <w:p>
      <w:pPr>
        <w:spacing w:before="240" w:after="240"/>
        <w:rPr>
          <w:lang w:val="el" w:eastAsia="el"/>
        </w:rPr>
      </w:pPr>
      <w:r>
        <w:rPr>
          <w:u w:val="single"/>
          <w:lang w:val="el" w:eastAsia="el"/>
        </w:rPr>
        <w:t xml:space="preserve">7. </w:t>
      </w:r>
      <w:r>
        <w:rPr>
          <w:b/>
          <w:bCs/>
          <w:u w:val="single"/>
          <w:lang w:val="el" w:eastAsia="el"/>
        </w:rPr>
        <w:t>Αποδέκτες Πίνακα Δ΄ εκτός από αριθ. 5</w:t>
      </w:r>
    </w:p>
    <w:p>
      <w:pPr>
        <w:spacing w:before="240" w:after="240"/>
        <w:rPr>
          <w:lang w:val="el" w:eastAsia="el"/>
        </w:rPr>
      </w:pPr>
      <w:r>
        <w:rPr>
          <w:u w:val="single"/>
          <w:lang w:val="el" w:eastAsia="el"/>
        </w:rPr>
        <w:t xml:space="preserve">8. </w:t>
      </w:r>
      <w:r>
        <w:rPr>
          <w:b/>
          <w:bCs/>
          <w:u w:val="single"/>
          <w:lang w:val="el" w:eastAsia="el"/>
        </w:rPr>
        <w:t>Αποδέκτες Πίνακα Ζ΄</w:t>
      </w:r>
    </w:p>
    <w:p>
      <w:pPr>
        <w:spacing w:before="240" w:after="240"/>
        <w:rPr>
          <w:lang w:val="el" w:eastAsia="el"/>
        </w:rPr>
      </w:pPr>
      <w:r>
        <w:rPr>
          <w:u w:val="single"/>
          <w:lang w:val="el" w:eastAsia="el"/>
        </w:rPr>
        <w:t xml:space="preserve">9. </w:t>
      </w:r>
      <w:r>
        <w:rPr>
          <w:b/>
          <w:bCs/>
          <w:u w:val="single"/>
          <w:lang w:val="el" w:eastAsia="el"/>
        </w:rPr>
        <w:t>Αποδέκτες Πίνακα Η΄</w:t>
      </w:r>
    </w:p>
    <w:p>
      <w:pPr>
        <w:spacing w:before="240" w:after="240"/>
        <w:rPr>
          <w:lang w:val="el" w:eastAsia="el"/>
        </w:rPr>
      </w:pPr>
      <w:r>
        <w:rPr>
          <w:u w:val="single"/>
          <w:lang w:val="el" w:eastAsia="el"/>
        </w:rPr>
        <w:t xml:space="preserve">10. </w:t>
      </w:r>
      <w:r>
        <w:rPr>
          <w:b/>
          <w:bCs/>
          <w:u w:val="single"/>
          <w:lang w:val="el" w:eastAsia="el"/>
        </w:rPr>
        <w:t>Αποδέκτες Πίνακα Θ΄ μόνο 10, 17, 18</w:t>
      </w:r>
    </w:p>
    <w:p>
      <w:pPr>
        <w:spacing w:before="240" w:after="240"/>
        <w:rPr>
          <w:lang w:val="el" w:eastAsia="el"/>
        </w:rPr>
      </w:pPr>
      <w:r>
        <w:rPr>
          <w:u w:val="single"/>
          <w:lang w:val="el" w:eastAsia="el"/>
        </w:rPr>
        <w:t xml:space="preserve">11. </w:t>
      </w:r>
      <w:r>
        <w:rPr>
          <w:b/>
          <w:bCs/>
          <w:u w:val="single"/>
          <w:lang w:val="el" w:eastAsia="el"/>
        </w:rPr>
        <w:t>Αποδέκτες Πίνακα ΙΒ΄ εκτός 5, 6 και 8</w:t>
      </w:r>
    </w:p>
    <w:p>
      <w:pPr>
        <w:spacing w:before="240" w:after="240"/>
        <w:rPr>
          <w:lang w:val="el" w:eastAsia="el"/>
        </w:rPr>
      </w:pPr>
      <w:r>
        <w:rPr>
          <w:u w:val="single"/>
          <w:lang w:val="el" w:eastAsia="el"/>
        </w:rPr>
        <w:t xml:space="preserve">12. </w:t>
      </w:r>
      <w:r>
        <w:rPr>
          <w:b/>
          <w:bCs/>
          <w:u w:val="single"/>
          <w:lang w:val="el" w:eastAsia="el"/>
        </w:rPr>
        <w:t>Αποδέκτες Πίνακα ΙΣΤ΄ μόνο οι αριθ. 1, 2, 14, 16, 19 και 20</w:t>
      </w:r>
    </w:p>
    <w:p>
      <w:pPr>
        <w:spacing w:before="240" w:after="240"/>
        <w:rPr>
          <w:lang w:val="el" w:eastAsia="el"/>
        </w:rPr>
      </w:pPr>
      <w:r>
        <w:rPr>
          <w:u w:val="single"/>
          <w:lang w:val="el" w:eastAsia="el"/>
        </w:rPr>
        <w:t xml:space="preserve">13. </w:t>
      </w:r>
      <w:r>
        <w:rPr>
          <w:b/>
          <w:bCs/>
          <w:u w:val="single"/>
          <w:lang w:val="el" w:eastAsia="el"/>
        </w:rPr>
        <w:t>Γραφείο Υπουργού Οικονομικών κ. Χ. Σταϊκούρα</w:t>
      </w:r>
    </w:p>
    <w:p>
      <w:pPr>
        <w:spacing w:before="240" w:after="240"/>
        <w:rPr>
          <w:lang w:val="el" w:eastAsia="el"/>
        </w:rPr>
      </w:pPr>
      <w:r>
        <w:rPr>
          <w:u w:val="single"/>
          <w:lang w:val="el" w:eastAsia="el"/>
        </w:rPr>
        <w:t xml:space="preserve">14.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15. </w:t>
      </w:r>
      <w:r>
        <w:rPr>
          <w:b/>
          <w:bCs/>
          <w:u w:val="single"/>
          <w:lang w:val="el" w:eastAsia="el"/>
        </w:rPr>
        <w:t>Γραφείο Γενικής Γραμματέως Φορολογικής Πολιτικής και Δημόσιας Περιουσίας κας Αθηνάς Καλύβα</w:t>
      </w:r>
    </w:p>
    <w:p>
      <w:pPr>
        <w:spacing w:before="240" w:after="240"/>
        <w:rPr>
          <w:lang w:val="el" w:eastAsia="el"/>
        </w:rPr>
      </w:pPr>
      <w:r>
        <w:rPr>
          <w:u w:val="single"/>
          <w:lang w:val="el" w:eastAsia="el"/>
        </w:rPr>
        <w:t xml:space="preserve">16. </w:t>
      </w:r>
      <w:r>
        <w:rPr>
          <w:b/>
          <w:bCs/>
          <w:u w:val="single"/>
          <w:lang w:val="el" w:eastAsia="el"/>
        </w:rPr>
        <w:t>Τράπεζα της Ελλάδος. Διεύθυνση Εργασιών Δημοσίου, Διεύθυνση Ταμείων , Διεύθυνση Χρηματοοικονομικών Δραστηριοτήτων. Ελευθερίου Βενιζέλου 21, Τ.Κ. 102 50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Γενικού Δ/ντή Φορολογικής Διοίκησης</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 Τμήμα Α΄</w:t>
      </w:r>
    </w:p>
    <w:p>
      <w:pPr>
        <w:spacing w:before="240" w:after="240"/>
        <w:rPr>
          <w:lang w:val="el" w:eastAsia="el"/>
        </w:rPr>
      </w:pPr>
      <w:r>
        <w:rPr>
          <w:u w:val="single"/>
          <w:lang w:val="el" w:eastAsia="el"/>
        </w:rPr>
        <w:t xml:space="preserve">5. </w:t>
      </w:r>
      <w:r>
        <w:rPr>
          <w:b/>
          <w:bCs/>
          <w:u w:val="single"/>
          <w:lang w:val="el" w:eastAsia="el"/>
        </w:rPr>
        <w:t>Διεύθυνση ΕΦΚ &amp; ΦΠΑ – Τμήμα Ε΄ ΦΠΑ Εισαγωγών – Εξαγωγών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