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9Τ0Ι4</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 101 84 Αθήνα Τηλέφωνο: 210 3375312</w:t>
      </w:r>
    </w:p>
    <w:p>
      <w:pPr>
        <w:spacing w:before="240" w:after="240"/>
        <w:rPr>
          <w:lang w:val="el" w:eastAsia="el"/>
        </w:rPr>
      </w:pPr>
      <w:r>
        <w:rPr>
          <w:b/>
          <w:bCs/>
          <w:lang w:val="el" w:eastAsia="el"/>
        </w:rPr>
        <w:t>E-mail:</w:t>
      </w:r>
      <w:hyperlink r:id="rId4" w:history="1">
        <w:r>
          <w:rPr>
            <w:rStyle w:val="Hyperlink"/>
            <w:b/>
            <w:bCs/>
            <w:color w:val="0000EE"/>
            <w:u w:color="0000EE"/>
            <w:lang w:val="el" w:eastAsia="el"/>
          </w:rPr>
          <w:t xml:space="preserve">deaf.b </w:t>
        </w:r>
        <w:r>
          <w:rPr>
            <w:rStyle w:val="Hyperlink"/>
            <w:b/>
            <w:bCs/>
            <w:color w:val="0000EE"/>
            <w:u w:color="0000EE"/>
            <w:lang w:val="el" w:eastAsia="el"/>
          </w:rPr>
          <w:t xml:space="preserve">@ </w:t>
        </w:r>
        <w:r>
          <w:rPr>
            <w:rStyle w:val="Hyperlink"/>
            <w:b/>
            <w:bCs/>
            <w:color w:val="0000EE"/>
            <w:u w:color="0000EE"/>
            <w:lang w:val="el" w:eastAsia="el"/>
          </w:rPr>
          <w:t>aade.gr</w:t>
        </w:r>
      </w:hyperlink>
      <w:hyperlink r:id="rId5" w:history="1">
        <w:r>
          <w:rPr>
            <w:rStyle w:val="Hyperlink"/>
            <w:b/>
            <w:bCs/>
            <w:color w:val="0000EE"/>
            <w:u w:color="0000EE"/>
            <w:lang w:val="el" w:eastAsia="el"/>
          </w:rPr>
          <w:t>deaf.a@ aade.gr</w:t>
        </w:r>
      </w:hyperlink>
    </w:p>
    <w:p>
      <w:pPr>
        <w:spacing w:before="240" w:after="240"/>
        <w:rPr>
          <w:lang w:val="el" w:eastAsia="el"/>
        </w:rPr>
      </w:pPr>
      <w:r>
        <w:rPr>
          <w:b/>
          <w:bCs/>
          <w:u w:val="single"/>
          <w:lang w:val="el" w:eastAsia="el"/>
        </w:rPr>
        <w:t>url :</w:t>
      </w:r>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Φορολογική μεταχείριση της απώλειας κεφαλαίου (ζημίας), λόγω αρνητικής απόδοσης επενδύσεων</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στην φορολογική μεταχείριση της απώλειας κεφαλαίου (ζημίας) λόγω αρνητικής απόδοσης επενδύσεων για τα νομικά πρόσωπα ή νομικές οντότητες, καθώς και για τα φυσικά πρόσωπα.</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Περιεχόμενο της εγκυκλίου είναι η ερμηνευτική προσέγγιση της φορολογικής μεταχείρισης της απώλειας που υφίστανται τα νομικά πρόσωπα και νομικές οντότητες, καθώς και τα φυσικά πρόσωπα από την εφαρμογή αρνητικών επιτοκίων στην αγορά.</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εγκύκλιος αφορά τα νομικά πρόσωπα και τις νομικές οντότητες, καθώς και τα φυσικά πρόσωπα ασκούντες επιχειρηματική δραστηριότητα ή μη.</w:t>
      </w:r>
    </w:p>
    <w:p>
      <w:pPr>
        <w:spacing w:before="240" w:after="240"/>
        <w:rPr>
          <w:lang w:val="el" w:eastAsia="el"/>
        </w:rPr>
      </w:pPr>
      <w:r>
        <w:rPr>
          <w:b/>
          <w:bCs/>
          <w:u w:val="single"/>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b/>
          <w:bCs/>
          <w:u w:val="single"/>
          <w:lang w:val="el" w:eastAsia="el"/>
        </w:rPr>
        <w:t xml:space="preserve">1. </w:t>
      </w:r>
      <w:r>
        <w:rPr>
          <w:b/>
          <w:bCs/>
          <w:u w:val="single"/>
          <w:lang w:val="el" w:eastAsia="el"/>
        </w:rPr>
        <w:t>Σύμφωνα με τις διατάξεις του άρθρου 22 του ν.4172/2013 (Α΄ 167, εφεξής ΚΦΕ)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 α) 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b/>
          <w:bCs/>
          <w:u w:val="single"/>
          <w:lang w:val="el" w:eastAsia="el"/>
        </w:rPr>
        <w:t>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spacing w:before="240" w:after="240"/>
        <w:rPr>
          <w:lang w:val="el" w:eastAsia="el"/>
        </w:rPr>
      </w:pPr>
      <w:r>
        <w:rPr>
          <w:b/>
          <w:bCs/>
          <w:u w:val="single"/>
          <w:lang w:val="el" w:eastAsia="el"/>
        </w:rPr>
        <w:t xml:space="preserve">2. </w:t>
      </w:r>
      <w:r>
        <w:rPr>
          <w:b/>
          <w:bCs/>
          <w:u w:val="single"/>
          <w:lang w:val="el" w:eastAsia="el"/>
        </w:rPr>
        <w:t>Περαιτέρω, σύμφωνα με τις διατάξεις της παρ. 2 του άρθρου 47 του ΚΦΕ, όλα τα έσοδα που αποκτούν τα νομικά πρόσωπα και οι νομικές οντότητες που αναφέρονται στις περιπτώσεις του άρθρου 45 του ΚΦΕ, θεωρούνται έσοδα από επιχειρηματική δραστηριότητα.</w:t>
      </w:r>
    </w:p>
    <w:p>
      <w:pPr>
        <w:spacing w:before="240" w:after="240"/>
        <w:rPr>
          <w:lang w:val="el" w:eastAsia="el"/>
        </w:rPr>
      </w:pPr>
      <w:r>
        <w:rPr>
          <w:b/>
          <w:bCs/>
          <w:u w:val="single"/>
          <w:lang w:val="el" w:eastAsia="el"/>
        </w:rPr>
        <w:t xml:space="preserve">3. </w:t>
      </w:r>
      <w:r>
        <w:rPr>
          <w:b/>
          <w:bCs/>
          <w:u w:val="single"/>
          <w:lang w:val="el" w:eastAsia="el"/>
        </w:rPr>
        <w:t>Δεδομένων των συνθηκών που επικρατούν στην αγορά, καθώς και της ακολουθούμενης νομισματικής πολιτικής, υφίστανται περιπτώσεις επενδύσεων οι οποίες επιφέρουν αρνητικές αποδόσεις στους επενδυτές, όπως για παράδειγμα οι καταθετικοί λογαριασμοί οι οποίοι συνδέονται με το επιτόκιο της Ευρωπαϊκής Κεντρικής Τράπεζας (ΕΚΤ) το οποίο έχει μειωθεί σε αρνητικό επίπεδο. Στις υπόψη περιπτώσεις αντί της δημιουργίας εισοδήματος για τον επενδυτή (πιστωτικοί τόκοι) προκύπτει ζημία λόγω της απομείωσης του κεφαλαίου της επένδυσης (κατάθεση) ισόποσα με το ποσό των χρεωστικών τόκων.</w:t>
      </w:r>
    </w:p>
    <w:p>
      <w:pPr>
        <w:spacing w:before="240" w:after="240"/>
        <w:rPr>
          <w:lang w:val="el" w:eastAsia="el"/>
        </w:rPr>
      </w:pPr>
      <w:r>
        <w:rPr>
          <w:b/>
          <w:bCs/>
          <w:u w:val="single"/>
          <w:lang w:val="el" w:eastAsia="el"/>
        </w:rPr>
        <w:t xml:space="preserve">4. </w:t>
      </w:r>
      <w:r>
        <w:rPr>
          <w:b/>
          <w:bCs/>
          <w:u w:val="single"/>
          <w:lang w:val="el" w:eastAsia="el"/>
        </w:rPr>
        <w:t>Ως εκ τούτου, δεδομένου ότι όλα τα έσοδα που αποκτούν τα νομικά πρόσωπα και οι νομικές οντότητες, θεωρούνται έσοδα από επιχειρηματική δραστηριότητα, η ζημία (απώλεια κεφαλαίου) ενός νομικού προσώπου ή νομικής οντότητας που προκύπτει λόγω της αρνητικής απόδοσης επενδύσεων (αρνητικό επιτόκιο), εκπίπτει από τα ακαθάριστα έσοδα τους, υπό τις προϋποθέσεις του άρθρου 22 του ΚΦΕ, καθόσον αποτελεί ζημία οριστική και εκκαθαρισμένη.</w:t>
      </w:r>
    </w:p>
    <w:p>
      <w:pPr>
        <w:spacing w:before="240" w:after="240"/>
        <w:rPr>
          <w:lang w:val="el" w:eastAsia="el"/>
        </w:rPr>
      </w:pPr>
      <w:r>
        <w:rPr>
          <w:b/>
          <w:bCs/>
          <w:u w:val="single"/>
          <w:lang w:val="el" w:eastAsia="el"/>
        </w:rPr>
        <w:t xml:space="preserve">5. </w:t>
      </w:r>
      <w:r>
        <w:rPr>
          <w:b/>
          <w:bCs/>
          <w:u w:val="single"/>
          <w:lang w:val="el" w:eastAsia="el"/>
        </w:rPr>
        <w:t>Αντίθετα, για τα φυσικά πρόσωπα, είτε ασκούν επιχειρηματική δραστηριότητα είτε όχι, το εισόδημα από τόκους εντάσσεται στην κατηγορία εισοδήματος από κεφάλαιο (κι όχι από επιχειρηματική δραστηριότητα) και φορολογείται αυτοτελώς σύμφωνα με τις διατάξεις της παραγράφου 2 του άρθρου 40 του ΚΦΕ. Εξάλλου, με βάση τις διατάξεις του άρθρου 37 του ΚΦΕ δεν υφίσταται η έννοια του αρνητικού εισοδήματος από τόκους, ούτε και προβλέπεται η έκπτωση δαπανών από το εισόδημα της κατηγορίας αυτής, όπως ρητά ορίζεται σε άλλες κατηγορίες εισοδήματος (πχ. εισόδημα από υπεραξία μεταβίβασης τίτλων, άρθρο 42 ΚΦΕ).</w:t>
      </w:r>
    </w:p>
    <w:p>
      <w:pPr>
        <w:spacing w:before="240" w:after="240"/>
        <w:rPr>
          <w:lang w:val="el" w:eastAsia="el"/>
        </w:rPr>
      </w:pPr>
      <w:r>
        <w:rPr>
          <w:b/>
          <w:bCs/>
          <w:u w:val="single"/>
          <w:lang w:val="el" w:eastAsia="el"/>
        </w:rPr>
        <w:t>Με βάση τα ανωτέρω τα φυσικά πρόσωπα δεν αναγράφουν στη δήλωση φορολογίας εισοδήματος τυχόν αρνητικά εισοδήματα από τόκους.</w:t>
      </w:r>
    </w:p>
    <w:p>
      <w:pPr>
        <w:spacing w:before="240" w:after="240"/>
        <w:rPr>
          <w:lang w:val="el" w:eastAsia="el"/>
        </w:rPr>
      </w:pPr>
      <w:r>
        <w:rPr>
          <w:b/>
          <w:bCs/>
          <w:u w:val="single"/>
          <w:lang w:val="el" w:eastAsia="el"/>
        </w:rPr>
        <w:t>Ο ΔΙΟΙΚΗΤΗΣ ΤΗΣ ΑΑΔΕ ΓΕΩΡΓΙΟΣ ΠΙΤΣΙΛΗΣ ΠΙΝΑΚΑΣ ΔΙΑΝΟΜΗΣ: Ι.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Αποδέκτες πίνακα Γ’ (εκτός του αριθμού 2 αυτού)</w:t>
      </w:r>
    </w:p>
    <w:p>
      <w:pPr>
        <w:spacing w:before="240" w:after="240"/>
        <w:rPr>
          <w:lang w:val="el" w:eastAsia="el"/>
        </w:rPr>
      </w:pPr>
      <w:r>
        <w:rPr>
          <w:b/>
          <w:bCs/>
          <w:u w:val="single"/>
          <w:lang w:val="el" w:eastAsia="el"/>
        </w:rPr>
        <w:t xml:space="preserve">2. </w:t>
      </w:r>
      <w:r>
        <w:rPr>
          <w:b/>
          <w:bCs/>
          <w:u w:val="single"/>
          <w:lang w:val="el" w:eastAsia="el"/>
        </w:rPr>
        <w:t>Επιχειρησιακή Δ/νση ΣΔΟΕ Αττικής &amp; Επιχειρησιακή Δ/νση ΣΔΟΕ Μακεδονίας</w:t>
      </w:r>
    </w:p>
    <w:p>
      <w:pPr>
        <w:spacing w:before="240" w:after="240"/>
        <w:rPr>
          <w:lang w:val="el" w:eastAsia="el"/>
        </w:rPr>
      </w:pPr>
      <w:r>
        <w:rPr>
          <w:b/>
          <w:bCs/>
          <w:u w:val="single"/>
          <w:lang w:val="el" w:eastAsia="el"/>
        </w:rPr>
        <w:t xml:space="preserve">3. </w:t>
      </w:r>
      <w:r>
        <w:rPr>
          <w:b/>
          <w:bCs/>
          <w:u w:val="single"/>
          <w:lang w:val="el" w:eastAsia="el"/>
        </w:rPr>
        <w:t>Γενική Διεύθυνση Ηλεκτρονικής Διακυβέρνησης</w:t>
      </w:r>
    </w:p>
    <w:p>
      <w:pPr>
        <w:spacing w:before="240" w:after="240"/>
        <w:rPr>
          <w:lang w:val="el" w:eastAsia="el"/>
        </w:rPr>
      </w:pPr>
      <w:r>
        <w:rPr>
          <w:b/>
          <w:bCs/>
          <w:u w:val="single"/>
          <w:lang w:val="el" w:eastAsia="el"/>
        </w:rPr>
        <w:t xml:space="preserve">4. </w:t>
      </w:r>
      <w:r>
        <w:rPr>
          <w:b/>
          <w:bCs/>
          <w:u w:val="single"/>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κ.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κ.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Γραφείο κ. Γενικού Γραμματέως Φορολογικής Πολιτικής και Δημόσιας Περιουσίας</w:t>
      </w:r>
    </w:p>
    <w:p>
      <w:pPr>
        <w:spacing w:before="240" w:after="240"/>
        <w:rPr>
          <w:lang w:val="el" w:eastAsia="el"/>
        </w:rPr>
      </w:pPr>
      <w:r>
        <w:rPr>
          <w:b/>
          <w:bCs/>
          <w:u w:val="single"/>
          <w:lang w:val="el" w:eastAsia="el"/>
        </w:rPr>
        <w:t xml:space="preserve">4. </w:t>
      </w:r>
      <w:r>
        <w:rPr>
          <w:b/>
          <w:bCs/>
          <w:u w:val="single"/>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u w:val="single"/>
          <w:lang w:val="el" w:eastAsia="el"/>
        </w:rPr>
        <w:t xml:space="preserve">5. </w:t>
      </w:r>
      <w:r>
        <w:rPr>
          <w:b/>
          <w:bCs/>
          <w:u w:val="single"/>
          <w:lang w:val="el" w:eastAsia="el"/>
        </w:rPr>
        <w:t>ΔΤΔ – Εγκεκριμένοι Οικονομικοί Φορείς</w:t>
      </w:r>
    </w:p>
    <w:p>
      <w:pPr>
        <w:spacing w:before="240" w:after="240"/>
        <w:rPr>
          <w:lang w:val="el" w:eastAsia="el"/>
        </w:rPr>
      </w:pPr>
      <w:r>
        <w:rPr>
          <w:b/>
          <w:bCs/>
          <w:u w:val="single"/>
          <w:lang w:val="el" w:eastAsia="el"/>
        </w:rPr>
        <w:t xml:space="preserve">6. </w:t>
      </w:r>
      <w:r>
        <w:rPr>
          <w:b/>
          <w:bCs/>
          <w:u w:val="single"/>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u w:val="single"/>
          <w:lang w:val="el" w:eastAsia="el"/>
        </w:rPr>
        <w:t xml:space="preserve">7. </w:t>
      </w:r>
      <w:r>
        <w:rPr>
          <w:b/>
          <w:bCs/>
          <w:u w:val="single"/>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 xml:space="preserve">8. </w:t>
      </w:r>
      <w:r>
        <w:rPr>
          <w:b/>
          <w:bCs/>
          <w:u w:val="single"/>
          <w:lang w:val="el" w:eastAsia="el"/>
        </w:rPr>
        <w:t>Υπουργείο Εσωτερικών, Γενική Γραμματεία Εσωτερικών &amp; Οργάνωσης, Δ/νση Οργάνωσης &amp; Λειτουργίας Τοπικής Αυτοδιοίκησης, Τμήμα Νομικών Προσώπων Τοπικής Αυτοδιοίκησης, Σταδίου 27, Τ.Κ. 101 83 Αθήνα</w:t>
      </w:r>
    </w:p>
    <w:p>
      <w:pPr>
        <w:spacing w:before="240" w:after="240"/>
        <w:rPr>
          <w:lang w:val="el" w:eastAsia="el"/>
        </w:rPr>
      </w:pPr>
      <w:r>
        <w:rPr>
          <w:b/>
          <w:bCs/>
          <w:u w:val="single"/>
          <w:lang w:val="el" w:eastAsia="el"/>
        </w:rPr>
        <w:t xml:space="preserve">9. </w:t>
      </w:r>
      <w:r>
        <w:rPr>
          <w:b/>
          <w:bCs/>
          <w:u w:val="single"/>
          <w:lang w:val="el" w:eastAsia="el"/>
        </w:rPr>
        <w:t>ΑΝΑΤΟΛΙΚΗ Α.Ε., Αναπτυξιακός Οργανισμός Τοπικής Αυτοδιοίκησης, 1ο χλμ. Θέρμης – Τριαδίου (Gold Center, Κτίριο 9), Τ.Θ. 60497, Τ.Κ. 570 01 Θέρμη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Γραφείο κ. Γενικού Δ/ντή Φορολογικής Διοίκησης</w:t>
      </w:r>
    </w:p>
    <w:p>
      <w:pPr>
        <w:spacing w:before="240" w:after="240"/>
        <w:rPr>
          <w:lang w:val="el" w:eastAsia="el"/>
        </w:rPr>
      </w:pPr>
      <w:r>
        <w:rPr>
          <w:b/>
          <w:bCs/>
          <w:u w:val="single"/>
          <w:lang w:val="el" w:eastAsia="el"/>
        </w:rPr>
        <w:t xml:space="preserve">3. </w:t>
      </w:r>
      <w:r>
        <w:rPr>
          <w:b/>
          <w:bCs/>
          <w:u w:val="single"/>
          <w:lang w:val="el" w:eastAsia="el"/>
        </w:rPr>
        <w:t>Γραφεία κ.κ. Γενικών Δ/ντών</w:t>
      </w:r>
    </w:p>
    <w:p>
      <w:pPr>
        <w:spacing w:before="240" w:after="240"/>
        <w:rPr>
          <w:lang w:val="el" w:eastAsia="el"/>
        </w:rPr>
      </w:pPr>
      <w:r>
        <w:rPr>
          <w:b/>
          <w:bCs/>
          <w:u w:val="single"/>
          <w:lang w:val="el" w:eastAsia="el"/>
        </w:rPr>
        <w:t xml:space="preserve">4.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 xml:space="preserve">5. </w:t>
      </w:r>
      <w:r>
        <w:rPr>
          <w:b/>
          <w:bCs/>
          <w:u w:val="single"/>
          <w:lang w:val="el" w:eastAsia="el"/>
        </w:rPr>
        <w:t>Δ/νση Νομικής Υποστήριξης</w:t>
      </w:r>
    </w:p>
    <w:p>
      <w:pPr>
        <w:spacing w:before="240" w:after="240"/>
        <w:rPr>
          <w:lang w:val="el" w:eastAsia="el"/>
        </w:rPr>
      </w:pPr>
      <w:r>
        <w:rPr>
          <w:b/>
          <w:bCs/>
          <w:u w:val="single"/>
          <w:lang w:val="el" w:eastAsia="el"/>
        </w:rPr>
        <w:t xml:space="preserve">6. </w:t>
      </w:r>
      <w:r>
        <w:rPr>
          <w:b/>
          <w:bCs/>
          <w:u w:val="single"/>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mailto:deaf.a@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