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Ω8ΜΧ</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Τηλέφωνο: 210 3375312</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deaf.b@ 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Κοινοποίηση της υπ’ αριθμ. 165/2021 γνωμοδότησης του Νομικού</w:t>
      </w:r>
    </w:p>
    <w:p>
      <w:pPr>
        <w:spacing w:before="240" w:after="240"/>
        <w:rPr>
          <w:lang w:val="el" w:eastAsia="el"/>
        </w:rPr>
      </w:pPr>
      <w:r>
        <w:rPr>
          <w:b/>
          <w:bCs/>
          <w:lang w:val="el" w:eastAsia="el"/>
        </w:rPr>
        <w:t>Συμβουλίου του Κράτους για το εάν οι διατάξεις της παρ.6 του άρθρου 64 του</w:t>
      </w:r>
    </w:p>
    <w:p>
      <w:pPr>
        <w:spacing w:before="240" w:after="240"/>
        <w:rPr>
          <w:lang w:val="el" w:eastAsia="el"/>
        </w:rPr>
      </w:pPr>
      <w:r>
        <w:rPr>
          <w:b/>
          <w:bCs/>
          <w:lang w:val="el" w:eastAsia="el"/>
        </w:rPr>
        <w:t>ν.4172/2013 (Α΄167) καταλαμβάνουν το εισόδημα που αποκτούν τα πιστωτικά</w:t>
      </w:r>
    </w:p>
    <w:p>
      <w:pPr>
        <w:spacing w:before="240" w:after="240"/>
        <w:rPr>
          <w:lang w:val="el" w:eastAsia="el"/>
        </w:rPr>
      </w:pPr>
      <w:r>
        <w:rPr>
          <w:b/>
          <w:bCs/>
          <w:lang w:val="el" w:eastAsia="el"/>
        </w:rPr>
        <w:t>ιδρύματα από τόκους ομολογιακών δανείων που έχουν εκδοθεί από ανώνυμες εταιρείες, σύμφωνα με τις διατάξεις του άρθρου 59 του ν.4548/2018 (Α΄104).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της υπ’ αριθμ. 165/2021 γνωμοδότησης του Νομικού Συμβουλίου του Κράτους.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κοινοποιούμενη με την εγκύκλιο γνωμοδότηση του ΝΣΚ, σύμφωνα με την οποία οι διατάξεις της παρ.6 του άρθρου 64 του ν.4172/2013 (ΚΦΕ) καταλαμβάνουν το εισόδημα που αποκτούν τα πιστωτικά ιδρύματα από τόκους ομολογιακών δανείων που έχουν εκδοθεί από ανώνυμες εταιρείες, σύμφωνα με τις διατάξεις του άρθρου 59 του ν.4548/2018.</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κοινοποιούμενη με την εγκύκλιο γνωμοδότηση αφορά τα πιστωτικά ιδρύματα και τις ανώνυμες εταιρείες που εκδίδουν ομολογιακά δάνεια.</w:t>
      </w:r>
    </w:p>
    <w:p>
      <w:pPr>
        <w:spacing w:before="240" w:after="240"/>
        <w:rPr>
          <w:lang w:val="el" w:eastAsia="el"/>
        </w:rPr>
      </w:pPr>
      <w:r>
        <w:rPr>
          <w:b/>
          <w:bCs/>
          <w:lang w:val="el" w:eastAsia="el"/>
        </w:rPr>
        <w:t>ΝΣΚ γνωμοδότησε ομόφωνα ότι η διάταξη της παραγράφου 6 του άρθρου 64 του ΚΦΕ δεν καταλαμβάνει τα εισοδήματα που αποκτούν τα πιστωτικά ιδρύματα από τόκους ομολογιακών δανείων που έχουν εκδοθεί από ανώνυμες εταιρείες, σύμφωνα με τις διατάξεις του άρθρου 59 του ν.4548/2018.</w:t>
      </w:r>
    </w:p>
    <w:p>
      <w:pPr>
        <w:spacing w:before="240" w:after="240"/>
        <w:rPr>
          <w:lang w:val="el" w:eastAsia="el"/>
        </w:rPr>
      </w:pPr>
      <w:r>
        <w:rPr>
          <w:b/>
          <w:bCs/>
          <w:lang w:val="el" w:eastAsia="el"/>
        </w:rPr>
        <w:t>Καθώς τα όσα έγιναν δεκτά με την ως άνω γνωμοδότηση δεν θέτουν σε αμφιβολία τη θέση της υπηρεσίας στην ΠΟΛ.1042/2015 εγκύκλιο με την οποία δόθηκαν διευκρινίσεις αναφορικά με τη φορολογική μεταχείριση του εισοδήματος από μερίσματα, τόκους και δικαιώματα μετά την έναρξη ισχύος των διατάξεων του ν.4172/2013, η ΠΟΛ.1042/2015 εξακολουθεί να ισχύει.</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Συνημμένα:</w:t>
      </w:r>
      <w:r>
        <w:rPr>
          <w:b/>
          <w:bCs/>
          <w:lang w:val="el" w:eastAsia="el"/>
        </w:rPr>
        <w:t xml:space="preserve"> Η υπ’ αριθμ. 165/2021 γνωμοδότηση του ΝΣΚ.</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8. </w:t>
      </w:r>
      <w:r>
        <w:rPr>
          <w:b/>
          <w:bCs/>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 83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 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