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6Λ1Ι46ΜΠ3Ζ-2ΣΖ</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 210-3375149,079</w:t>
      </w:r>
    </w:p>
    <w:p>
      <w:pPr>
        <w:spacing w:before="240" w:after="240"/>
        <w:rPr>
          <w:lang w:val="el" w:eastAsia="el"/>
        </w:rPr>
      </w:pPr>
      <w:hyperlink r:id="rId4" w:history="1">
        <w:r>
          <w:rPr>
            <w:rStyle w:val="Hyperlink"/>
            <w:color w:val="0000EE"/>
            <w:u w:color="0000EE"/>
            <w:lang w:val="el" w:eastAsia="el"/>
          </w:rPr>
          <w:t>deaf.c@aade.gr</w:t>
        </w:r>
      </w:hyperlink>
    </w:p>
    <w:p>
      <w:pPr>
        <w:spacing w:before="240" w:after="240"/>
        <w:rPr>
          <w:lang w:val="el" w:eastAsia="el"/>
        </w:rPr>
      </w:pPr>
      <w:r>
        <w:rPr>
          <w:b/>
          <w:bCs/>
          <w:lang w:val="el" w:eastAsia="el"/>
        </w:rPr>
        <w:t>ΘΕΜΑ: Παροχή οδηγιών σχετικά με την εφαρμογή των διατάξεων του ν. 27/1975 (Α’77), σε πλοία δεύτερης κατηγορίας του νόμου αυτού που ανήκουν στο Δημόσιο.</w:t>
      </w:r>
    </w:p>
    <w:p>
      <w:pPr>
        <w:spacing w:before="240" w:after="240"/>
        <w:rPr>
          <w:lang w:val="el" w:eastAsia="el"/>
        </w:rPr>
      </w:pPr>
      <w:r>
        <w:rPr>
          <w:b/>
          <w:bCs/>
          <w:lang w:val="el" w:eastAsia="el"/>
        </w:rPr>
        <w:t>ΠΕΡΙΛΗΨΗΑ) ΑΝΤΙΚΕΙΜΕΝΟ</w:t>
      </w:r>
    </w:p>
    <w:p>
      <w:pPr>
        <w:spacing w:before="240" w:after="240"/>
        <w:rPr>
          <w:lang w:val="el" w:eastAsia="el"/>
        </w:rPr>
      </w:pPr>
      <w:r>
        <w:rPr>
          <w:b/>
          <w:bCs/>
          <w:lang w:val="el" w:eastAsia="el"/>
        </w:rPr>
        <w:t>Εγκύκλιος που αφορά τη μη επιβολή φόρου σε πλοία δεύτερης κατηγορίας του ν. 27/1975, ιδιοκτησίας του Δημοσίου τα οποία εξυπηρετούν κρατικές ανάγκες.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τη μη επιβολή φόρου βάσει των διατάξεων του ν. 27/1975, στα πλοία δεύτερης κατηγορίας του νόμου αυτού τα οποία σύμφωνα με το έγγραφο Εθνικότητας ανήκουν στο Ελληνικό Δημόσιο και τα οποία χρησιμοποιούνται για σκοπούς εξυπηρέτησης κρατικών αναγκών.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τις Δ.Ο.Υ της χώρας που εκδίδουν πράξεις διοικητικού προσδιορισμού φόρου για πλοία δεύτερης κατηγορίας του ν. 27/1975 με βάση τα στοιχεία που αυτές έχουν και μεταξύ αυτών περιλαμβάνονται και περιπτώσεις πλοίων που ανήκουν στο Ελληνικό Δημόσιο χρησιμοποιούνται για σκοπούς εξυπηρέτησης κρατικών αναγκών, καθώς και τις υπηρεσίες του Δημοσίου στις οποίες ανήκουν τα πλοία αυτά.</w:t>
      </w:r>
    </w:p>
    <w:p>
      <w:pPr>
        <w:spacing w:before="240" w:after="240"/>
        <w:rPr>
          <w:lang w:val="el" w:eastAsia="el"/>
        </w:rPr>
      </w:pPr>
      <w:r>
        <w:rPr>
          <w:b/>
          <w:bCs/>
          <w:lang w:val="el" w:eastAsia="el"/>
        </w:rPr>
        <w:t>Με αφορμή ερώτημα που έχει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Με τις διατάξεις των παρ. 1 και 2 του άρθρου 1 του ν. 27/1975 επιβάλλεται φόρος και εισφορά επί των πλοίων υπό ελληνική σημαία. Για τους σκοπούς του νόμου αυτού τα πλοία λογίζονται υπό ελληνική σημαία, από τη νηολόγησή τους σε ελληνικό λιμάνι ή από την εγγραφή τους στα τηρούμενα νηολόγια στα Προξενικά Λιμεναρχεία ή από την έκδοση προσωρινού εγγράφου ελληνικής εθνικότητας αυτών, μέχρι τον χρόνο κατά τον οποίο λαμβάνει χώρα το γεγονός που επιβάλει τη διαγραφή τους από το νηολόγιο.</w:t>
      </w:r>
    </w:p>
    <w:p>
      <w:pPr>
        <w:spacing w:before="240" w:after="240"/>
        <w:rPr>
          <w:lang w:val="el" w:eastAsia="el"/>
        </w:rPr>
      </w:pPr>
      <w:r>
        <w:rPr>
          <w:lang w:val="el" w:eastAsia="el"/>
        </w:rPr>
        <w:t xml:space="preserve">2. </w:t>
      </w:r>
      <w:r>
        <w:rPr>
          <w:b/>
          <w:bCs/>
          <w:lang w:val="el" w:eastAsia="el"/>
        </w:rPr>
        <w:t>Επίσης, με τις διατάξεις της παρ. 1 του άρθρου 2 του πιο πάνω νόμου ορίζεται ότι ο φόρος που επιβάλλεται με βάση τις διατάξεις αυτού εξαντλεί κάθε υποχρέωση του πλοιοκτήτη φυσικού ή νομικού προσώπου καθώς και μετόχου ή εταίρου ημεδαπής ή αλλοδαπής εταιρείας οποιουδήποτε τύπου από το φόρο εισοδήματος, όσον αφορά στα κέρδη τα οποία προκύπτουν από την εκμετάλλευση του πλοίου.</w:t>
      </w:r>
    </w:p>
    <w:p>
      <w:pPr>
        <w:spacing w:before="240" w:after="240"/>
        <w:rPr>
          <w:lang w:val="el" w:eastAsia="el"/>
        </w:rPr>
      </w:pPr>
      <w:r>
        <w:rPr>
          <w:lang w:val="el" w:eastAsia="el"/>
        </w:rPr>
        <w:t xml:space="preserve">3. </w:t>
      </w:r>
      <w:r>
        <w:rPr>
          <w:b/>
          <w:bCs/>
          <w:lang w:val="el" w:eastAsia="el"/>
        </w:rPr>
        <w:t>Από τα ανωτέρω προκύπτει ότι, τα πλοία δεύτερης κατηγορίας που ανήκουν στο Δημόσιο και εξυπηρετούν καθαρά δημόσιους σκοπούς, όπως αστυνόμευση, αρωγή σε έκτακτα καιρικά φαινόμενα κ.λπ. (δηλαδή δεν είναι πλοία τα οποία αποτελούν αντικείμενο εμπορικής εκμετάλλευσης από το Δημόσιο), δεν περιλαμβάνονται στο πεδίο εφαρμογής του ν. 27/1975, και συνεπώς δεν επιβάλλεται σε βάρος του Δημοσίου που έχει στην κυριότητά του τέτοια πλοία ο φόρος που προβλέπεται από τις διατάξεις του ν. 27/1975, καθώς ο φόρος αυτός επιβάλλεται σε βάρος των πλοιοκτητών για τα κέρδη τα οποία προκύπτουν από την εμπορική εκμετάλλευση του πλοίου.</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Δ/νση Στρατηγικής Τεχνολογικών Πληροφορικής (ΔΙ.Σ.ΤΕ.ΠΛ) (με την παράκληση να αναρτηθεί στην Ηλεκτρονική Βιβλιοθήκη)</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Γεν. Γραμ.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Υπουργείο Ναυτιλίας και Νησιωτικής Πολιτικής</w:t>
      </w:r>
    </w:p>
    <w:p>
      <w:pPr>
        <w:spacing w:before="240" w:after="240"/>
        <w:rPr>
          <w:lang w:val="el" w:eastAsia="el"/>
        </w:rPr>
      </w:pPr>
      <w:r>
        <w:rPr>
          <w:lang w:val="el" w:eastAsia="el"/>
        </w:rPr>
        <w:t xml:space="preserve">5. </w:t>
      </w:r>
      <w:r>
        <w:rPr>
          <w:b/>
          <w:bCs/>
          <w:lang w:val="el" w:eastAsia="el"/>
        </w:rPr>
        <w:t>Γενική Γραμματεία Λιμένων, Λιμενικής Πολιτικής και Ναυτιλιακών Επενδύσεων</w:t>
      </w:r>
    </w:p>
    <w:p>
      <w:pPr>
        <w:spacing w:before="240" w:after="240"/>
        <w:rPr>
          <w:lang w:val="el" w:eastAsia="el"/>
        </w:rPr>
      </w:pPr>
      <w:r>
        <w:rPr>
          <w:b/>
          <w:bCs/>
          <w:lang w:val="el" w:eastAsia="el"/>
        </w:rPr>
        <w:t>Γενική Διεύθυνση Λ.Λ.Π.Ν.Ε.</w:t>
      </w:r>
    </w:p>
    <w:p>
      <w:pPr>
        <w:spacing w:before="240" w:after="240"/>
        <w:rPr>
          <w:lang w:val="el" w:eastAsia="el"/>
        </w:rPr>
      </w:pPr>
      <w:r>
        <w:rPr>
          <w:b/>
          <w:bCs/>
          <w:lang w:val="el" w:eastAsia="el"/>
        </w:rPr>
        <w:t>Διεύθυνση Ναυτιλιακών Επενδύσεων και θαλάσσιου τουρισμού</w:t>
      </w:r>
    </w:p>
    <w:p>
      <w:pPr>
        <w:pStyle w:val="Heading1"/>
        <w:spacing w:before="240" w:after="240"/>
        <w:rPr>
          <w:lang w:val="el" w:eastAsia="el"/>
        </w:rPr>
      </w:pPr>
      <w:r>
        <w:rPr>
          <w:rStyle w:val="hierarchy-num"/>
          <w:b/>
          <w:bCs/>
          <w:lang w:val="el" w:eastAsia="el"/>
        </w:rPr>
        <w:t>Τμήμα Β΄</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lang w:val="el" w:eastAsia="el"/>
        </w:rPr>
        <w:t xml:space="preserve">6. </w:t>
      </w:r>
      <w:r>
        <w:rPr>
          <w:b/>
          <w:bCs/>
          <w:lang w:val="el" w:eastAsia="el"/>
        </w:rPr>
        <w:t>Αποδέκτες πίνακα Η΄ (εκτός 4,10 και 11)</w:t>
      </w:r>
    </w:p>
    <w:p>
      <w:pPr>
        <w:spacing w:before="240" w:after="240"/>
        <w:rPr>
          <w:lang w:val="el" w:eastAsia="el"/>
        </w:rPr>
      </w:pPr>
      <w:r>
        <w:rPr>
          <w:lang w:val="el" w:eastAsia="el"/>
        </w:rPr>
        <w:t xml:space="preserve">7. </w:t>
      </w:r>
      <w:r>
        <w:rPr>
          <w:b/>
          <w:bCs/>
          <w:lang w:val="el" w:eastAsia="el"/>
        </w:rPr>
        <w:t>Αποδέκτες πίνακα ΙΒ΄(5 και 7)</w:t>
      </w:r>
    </w:p>
    <w:p>
      <w:pPr>
        <w:spacing w:before="240" w:after="240"/>
        <w:rPr>
          <w:lang w:val="el" w:eastAsia="el"/>
        </w:rPr>
      </w:pPr>
      <w:r>
        <w:rPr>
          <w:lang w:val="el" w:eastAsia="el"/>
        </w:rPr>
        <w:t xml:space="preserve">8. </w:t>
      </w:r>
      <w:r>
        <w:rPr>
          <w:b/>
          <w:bCs/>
          <w:lang w:val="el" w:eastAsia="el"/>
        </w:rPr>
        <w:t>Αποδέκτες πίνακα ΚΓ΄</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Αν. Προϊσταμένου Διεύθυνσης Άμεσης Φορολογίας</w:t>
      </w:r>
    </w:p>
    <w:p>
      <w:pPr>
        <w:spacing w:before="240" w:after="240"/>
        <w:rPr>
          <w:lang w:val="el" w:eastAsia="el"/>
        </w:rPr>
      </w:pPr>
      <w:r>
        <w:rPr>
          <w:lang w:val="el" w:eastAsia="el"/>
        </w:rPr>
        <w:t xml:space="preserve">7. </w:t>
      </w:r>
      <w:r>
        <w:rPr>
          <w:b/>
          <w:bCs/>
          <w:lang w:val="el" w:eastAsia="el"/>
        </w:rPr>
        <w:t>Δ/νση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