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ΕΑΔΑ: 97ΕΡ46ΜΠ3Ζ-ΟΣΡ</w:t>
      </w:r>
    </w:p>
    <w:p>
      <w:pPr>
        <w:spacing w:before="240" w:after="240"/>
        <w:rPr>
          <w:lang w:val="el" w:eastAsia="el"/>
        </w:rPr>
      </w:pPr>
      <w:r>
        <w:rPr>
          <w:b/>
          <w:bCs/>
          <w:lang w:val="el" w:eastAsia="el"/>
        </w:rPr>
        <w:t>Αθήνα, 10 Μαΐου 2022</w:t>
      </w:r>
    </w:p>
    <w:p>
      <w:pPr>
        <w:spacing w:before="240" w:after="240"/>
        <w:rPr>
          <w:lang w:val="el" w:eastAsia="el"/>
        </w:rPr>
      </w:pPr>
      <w:r>
        <w:rPr>
          <w:b/>
          <w:bCs/>
          <w:lang w:val="el" w:eastAsia="el"/>
        </w:rPr>
        <w:t>Ε Ε. 2042</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ΕΛΕΓΧΩΝ</w:t>
      </w:r>
    </w:p>
    <w:p>
      <w:pPr>
        <w:spacing w:before="240" w:after="240"/>
        <w:rPr>
          <w:lang w:val="el" w:eastAsia="el"/>
        </w:rPr>
      </w:pPr>
      <w:r>
        <w:rPr>
          <w:b/>
          <w:bCs/>
          <w:lang w:val="el" w:eastAsia="el"/>
        </w:rPr>
        <w:t>ΤΜΗΜΑΤΑ A΄, Η΄, Θ΄</w:t>
      </w:r>
    </w:p>
    <w:p>
      <w:pPr>
        <w:spacing w:before="240" w:after="240"/>
        <w:rPr>
          <w:lang w:val="el" w:eastAsia="el"/>
        </w:rPr>
      </w:pPr>
      <w:r>
        <w:rPr>
          <w:b/>
          <w:bCs/>
          <w:lang w:val="el" w:eastAsia="el"/>
        </w:rPr>
        <w:t xml:space="preserve">Url </w:t>
      </w:r>
      <w:hyperlink r:id="rId4" w:history="1">
        <w:r>
          <w:rPr>
            <w:rStyle w:val="Hyperlink"/>
            <w:b/>
            <w:bCs/>
            <w:color w:val="0000EE"/>
            <w:u w:color="0000EE"/>
            <w:lang w:val="el" w:eastAsia="el"/>
          </w:rPr>
          <w:t>:</w:t>
        </w:r>
        <w:r>
          <w:rPr>
            <w:rStyle w:val="Hyperlink"/>
            <w:b/>
            <w:bCs/>
            <w:color w:val="0000EE"/>
            <w:u w:color="0000EE"/>
            <w:lang w:val="el" w:eastAsia="el"/>
          </w:rPr>
          <w:t>www.aade.gr</w:t>
        </w:r>
      </w:hyperlink>
    </w:p>
    <w:p>
      <w:pPr>
        <w:spacing w:before="240" w:after="240"/>
        <w:rPr>
          <w:lang w:val="el" w:eastAsia="el"/>
        </w:rPr>
      </w:pPr>
      <w:r>
        <w:rPr>
          <w:b/>
          <w:bCs/>
          <w:lang w:val="el" w:eastAsia="el"/>
        </w:rPr>
        <w:t>Θέμα: Παροχή διευκρινίσεων σχετικά με τα πρόστιμα που αφορούν τις παραβάσεις έκδοσης πλαστών ή εικονικών φορολογικών στοιχείων ή λήψης εικονικών φορολογικών στοιχείων ή νόθευσης αυτών, καθώς και καταχώρισης στα βιβλία αγορών ή εξόδων που δεν έχουν πραγματοποιηθεί και για τα οποία δεν έχει εκδοθεί φορολογικό στοιχείο, κατόπιν έκδοσης της υπ΄αρ. 2319/2021 Απόφασης του Συμβουλίου της Επικρατείας.</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σχετικά με τα πρόστιμα που επιβάλλονται για παραβάσεις έκδοσης πλαστών ή εικονικών φορολογικών στοιχείων ή λήψης εικονικών φορολογικών στοιχείων ή νόθευσης αυτών, καθώς και καταχώρισης στα βιβλία αγορών ή εξόδων που δεν έχουν πραγματοποιηθεί και για τα οποία δεν έχει εκδοθεί φορολογικό στοιχείο σύμφωνα με την υπ΄αρ. 2319/2021 Απόφαση του Β΄ Τμήματος του Συμβουλίου της Επικρατείας.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 xml:space="preserve">Η παρούσα εγκύκλιος παρέχει διευκρινίσεις για την αντιμετώπιση των παραβάσεων έκδοσης πλαστών ή εικονικών φορολογικών στοιχείων ή λήψης εικονικών φορολογικών στοιχείων ή νόθευσης αυτών, καθώς και καταχώρισης στα βιβλία αγορών ή εξόδων που δεν έχουν πραγματοποιηθεί και για τα οποία δεν έχει εκδοθεί φορολογικό στοιχείο, οι οποίες, σύμφωνα με την υπ΄αρ. 2319/2021 Απόφαση του Β΄ Τμήματος του Συμβουλίου της Επικρατείας, εμπίπτουν στο πεδίο εφαρμογής των διατάξεων της περ. η΄ της παρ. 1 του άρθρου 54 του ν. </w:t>
      </w:r>
      <w:r>
        <w:rPr>
          <w:b/>
          <w:bCs/>
          <w:u w:val="single"/>
          <w:lang w:val="el" w:eastAsia="el"/>
        </w:rPr>
        <w:t>4174/2013 και συνεπώς για τις εν λόγω παραβάσεις, επιβάλλεται το πρόστιμο που</w:t>
      </w:r>
      <w:r>
        <w:rPr>
          <w:b/>
          <w:bCs/>
          <w:lang w:val="el" w:eastAsia="el"/>
        </w:rPr>
        <w:t xml:space="preserve"> προβλέπεται με τις διατάξεις της περ. ε΄ της παρ. 2 του ιδίου ως άνω άρθρου και νόμου.</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καταλαμβάνει τις περιπτώσεις φορολογουμένων που έως 16/10/2015 υπέπεσαν στις παραβάσεις έκδοσης πλαστών ή εικονικών φορολογικών στοιχείων ή λήψης εικονικών φορολογικών στοιχείων ή νόθευσης αυτών καθώς και καταχώρισης στα βιβλία αγορών ή εξόδων που δεν έχουν πραγματοποιηθεί και για τα οποία δεν έχει εκδοθεί φορολογικό στοιχείο.</w:t>
      </w:r>
    </w:p>
    <w:p>
      <w:pPr>
        <w:spacing w:before="240" w:after="240"/>
        <w:rPr>
          <w:lang w:val="el" w:eastAsia="el"/>
        </w:rPr>
      </w:pPr>
      <w:r>
        <w:rPr>
          <w:lang w:val="el" w:eastAsia="el"/>
        </w:rPr>
        <w:t xml:space="preserve">1. </w:t>
      </w:r>
      <w:r>
        <w:rPr>
          <w:b/>
          <w:bCs/>
          <w:lang w:val="el" w:eastAsia="el"/>
        </w:rPr>
        <w:t>Με την υπ΄αρ. 2319/2021 Απόφαση του Β΄ Τμήματος του Συμβουλίου της Επικρατείας, η οποία εκδόθηκε επί προδικαστικού ερωτήματος, κρίθηκε ότι η αρχή της αναδρομικής εφαρμογής της ελαφρύτερης διοικητικής κύρωσης έχει πεδίο εφαρμογής και επί του κατά περίπτωση προβλεπόμενου διοικητικού προστίμου για την παράβαση λήψης εικονικών φορολογικών στοιχείων για ανύπαρκτη συναλλαγή.</w:t>
      </w:r>
    </w:p>
    <w:p>
      <w:pPr>
        <w:spacing w:before="240" w:after="240"/>
        <w:rPr>
          <w:lang w:val="el" w:eastAsia="el"/>
        </w:rPr>
      </w:pPr>
      <w:r>
        <w:rPr>
          <w:lang w:val="el" w:eastAsia="el"/>
        </w:rPr>
        <w:t xml:space="preserve">2. </w:t>
      </w:r>
      <w:r>
        <w:rPr>
          <w:b/>
          <w:bCs/>
          <w:lang w:val="el" w:eastAsia="el"/>
        </w:rPr>
        <w:t>Ειδικότερα, κρίθηκε ότι η παράβαση λήψης εικονικών φορολογικών στοιχείων για ανύπαρκτη συναλλαγή σχετίζεται με τη μη συμμόρφωση προς τις υποχρεώσεις ορθής τήρησης βιβλίων και στοιχείων που απεικονίζουν πλήρως τις συναλλαγές της επιχείρησης. Ως εκ τούτου, η εν λόγω παράβαση εμπίπτει στις διατάξεις της περ. η΄ της παρ. 1 του άρθρου 54 του ν. 4174/2013 περί μη συμμόρφωσης του φορολογούμενου με τις κατά το άρθρο 13 του ιδίου ως άνω νόμου υποχρεώσεις του, για την οποία επιβάλλεται το πρόστιμο που προβλέπεται με τις διατάξεις της περ. ε΄της παρ. 2 του ιδίου ως άνω άρθρου και νόμου. Περαιτέρω, μετά την κατάργηση του άρθρου 55 παρ. 2 περ. γ΄ του ν. 4174/2013 (με το άρθρο 3 παρ. 4 του ν. 4337/2015), καθώς και την κατάργηση του άρθρου 5 του ν. 2523/1997 (με το άρθρο 7 παρ. 6 του ν. 4337/2015), η ρύθμιση του συνδυασμού των διατάξεων του άρθρου 54 παρ. 1 περ. η΄ και παρ. 2 περ. ε΄ του ν. 4174/2013, είναι ευμενέστερη σε σχέση με τις διατάξεις της περ. β΄ της παρ. 10 του άρθρου 5 του ν. 2523/1997, τις διατάξεις της περ. γ΄ της παρ. 2 του άρθρου 55 του ν. 4174/2013 καθώς και τις μεταβατικές διατάξεις της παρ. 3 του άρθρου 7 του ν. 4337/2015. Συνεπώς, εφόσον είναι ευμενέστερη, εφαρμοστέα κύρωση για την παράβαση αυτή είναι το πρόστιμο που προβλέπεται στο άρθρο 54 παρ. 2 περ. ε΄ -ΚΦΔ.</w:t>
      </w:r>
    </w:p>
    <w:p>
      <w:pPr>
        <w:spacing w:before="240" w:after="240"/>
        <w:rPr>
          <w:lang w:val="el" w:eastAsia="el"/>
        </w:rPr>
      </w:pPr>
      <w:r>
        <w:rPr>
          <w:lang w:val="el" w:eastAsia="el"/>
        </w:rPr>
        <w:t xml:space="preserve">3. </w:t>
      </w:r>
      <w:r>
        <w:rPr>
          <w:b/>
          <w:bCs/>
          <w:lang w:val="el" w:eastAsia="el"/>
        </w:rPr>
        <w:t>Κατόπιν των ανωτέρω, και δεδομένου ότι οι προαναφερθείσες διατάξεις, καθώς και η διάταξη της περ. β΄της παρ. 2 του άρθρου 55 ΚΦΔ που ομοίως καταργήθηκε με την παρ. 4 του άρθρου 3 του ν.4337/2015, καταλαμβάνουν όχι μόνο τις παραβάσεις λήψης εικονικών στοιχείων αλλά και έκδοσης πλαστών και εικονικών φορολογικών στοιχείων ή νόθευσης αυτών, καθώς και καταχώρισης στα βιβλία αγορών ή εξόδων που δεν έχουν πραγματοποιηθεί και για τα οποία δεν έχει εκδοθεί φορολογικό στοιχείο, οι οποίες, σύμφωνα με τα παραπάνω, εμπίπτουν στο πεδίο εφαρμογής των διατάξεων της περ. η΄της παρ. 1 του άρθρου 54 του ν.4174/2013,επιβάλλεται, εφόσον είναι ευμενέστερο, το πρόστιμο της περ. ε΄ της παρ. 2 του ιδίου άρθρου και νόμου, ήτοι δύο χιλιάδες πεντακόσια (2.500) ευρώ ανά ελεγχόμενο φορολογικό έτος/χρήση κατά το οποίο/την οποία διαπιστώνεται η τέλεση τέτοιων παραβάσεων (ήτοι: ένα πρόστιμο ανά χρήση, ανεξάρτητα από τον αριθμό των εικονικών ή πλαστών ή νοθευμένων στοιχείων ή του πλήθους των καταχωρίσεων στα βιβλία αγορών ή εξόδων που δεν έχουν πραγματοποιηθεί, βλ. σχετικά και την ΠΟΛ. 1252/2015), υπό την προϋπόθεση ότι η τέλεση ανάγεται έως και την 16.10.2015. Για τη διαπίστωση του ευνοϊκότερου ή μη χαρακτήρα της κύρωσης αυτής, θα πρέπει να προηγείται σε κάθε περίπτωση σύγκριση με την κύρωση που απειλείται από την εφαρμογή των διατάξεων της περ. β΄ της παρ. 10 του άρθρου 5 του ν. 2523/1997, των διατάξεων των περ. β΄ και γ΄ της παρ. 2 του άρθρου 55 του ν. 4174/2013, καθώς και των μεταβατικών διατάξεων της παρ. 3 του άρθρου 7 του ν. 4337/2015.</w:t>
      </w:r>
    </w:p>
    <w:p>
      <w:pPr>
        <w:spacing w:before="240" w:after="240"/>
        <w:rPr>
          <w:lang w:val="el" w:eastAsia="el"/>
        </w:rPr>
      </w:pPr>
      <w:r>
        <w:rPr>
          <w:lang w:val="el" w:eastAsia="el"/>
        </w:rPr>
        <w:t xml:space="preserve">4. </w:t>
      </w:r>
      <w:r>
        <w:rPr>
          <w:b/>
          <w:bCs/>
          <w:lang w:val="el" w:eastAsia="el"/>
        </w:rPr>
        <w:t>Για παραβάσεις που διαπράττονται από την 17.10.2015 και εντεύθεν δεν επιβάλλεται το πρόστιμο που αναφέρεται στην παράγραφο 3 του παρόντος.</w:t>
      </w:r>
    </w:p>
    <w:p>
      <w:pPr>
        <w:spacing w:before="240" w:after="240"/>
        <w:rPr>
          <w:lang w:val="el" w:eastAsia="el"/>
        </w:rPr>
      </w:pPr>
      <w:r>
        <w:rPr>
          <w:lang w:val="el" w:eastAsia="el"/>
        </w:rPr>
        <w:t xml:space="preserve">5. </w:t>
      </w:r>
      <w:r>
        <w:rPr>
          <w:b/>
          <w:bCs/>
          <w:lang w:val="el" w:eastAsia="el"/>
        </w:rPr>
        <w:t>Διευκρινίζεται ότι, τα ανωτέρω αναφερόμενα δε θίγουν τις υποχρεώσεις των ελεγκτικών οργάνων ως προς την υποβολή μηνυτήριας αναφοράς στην περίπτωση διαπίστωσης εγκλημάτων φοροδιαφυγής (σχετ. διατ. αρθ. 66 παρ. 5 , 55Ακαι 68 παρ. 1 του Κ.Φ.Δ.).</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Προγραμματισμού &amp; Αξιολόγησης Ελέγχων &amp; Ερευνών (ΔΙ.ΠΑ.Ε.Ε.)</w:t>
      </w:r>
    </w:p>
    <w:p>
      <w:pPr>
        <w:spacing w:before="240" w:after="240"/>
        <w:rPr>
          <w:lang w:val="el" w:eastAsia="el"/>
        </w:rPr>
      </w:pPr>
      <w:r>
        <w:rPr>
          <w:lang w:val="el" w:eastAsia="el"/>
        </w:rPr>
        <w:t xml:space="preserve">3. </w:t>
      </w:r>
      <w:r>
        <w:rPr>
          <w:b/>
          <w:bCs/>
          <w:lang w:val="el" w:eastAsia="el"/>
        </w:rPr>
        <w:t>Υπηρεσία Ερευνών και Διασφάλισης Δημοσίων Εσόδων (Υ.Ε.Δ.Δ.Ε.)</w:t>
      </w:r>
    </w:p>
    <w:p>
      <w:pPr>
        <w:spacing w:before="240" w:after="240"/>
        <w:rPr>
          <w:lang w:val="el" w:eastAsia="el"/>
        </w:rPr>
      </w:pPr>
      <w:r>
        <w:rPr>
          <w:lang w:val="el" w:eastAsia="el"/>
        </w:rPr>
        <w:t xml:space="preserve">4. </w:t>
      </w:r>
      <w:r>
        <w:rPr>
          <w:b/>
          <w:bCs/>
          <w:lang w:val="el" w:eastAsia="el"/>
        </w:rPr>
        <w:t>ΔΙ.Σ.ΤΕ.ΠΛ. (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Β’, Η΄, Ι΄</w:t>
      </w:r>
    </w:p>
    <w:p>
      <w:pPr>
        <w:spacing w:before="240" w:after="240"/>
        <w:rPr>
          <w:lang w:val="el" w:eastAsia="el"/>
        </w:rPr>
      </w:pPr>
      <w:r>
        <w:rPr>
          <w:lang w:val="el" w:eastAsia="el"/>
        </w:rPr>
        <w:t xml:space="preserve">2. </w:t>
      </w:r>
      <w:r>
        <w:rPr>
          <w:b/>
          <w:bCs/>
          <w:lang w:val="el" w:eastAsia="el"/>
        </w:rPr>
        <w:t>Αυτοτελές Γραφείο Τύπου και Δημοσίων Σχέσεων</w:t>
      </w:r>
    </w:p>
    <w:p>
      <w:pPr>
        <w:spacing w:before="240" w:after="240"/>
        <w:rPr>
          <w:lang w:val="el" w:eastAsia="el"/>
        </w:rPr>
      </w:pPr>
      <w:r>
        <w:rPr>
          <w:lang w:val="el" w:eastAsia="el"/>
        </w:rPr>
        <w:t xml:space="preserve">3. </w:t>
      </w:r>
      <w:r>
        <w:rPr>
          <w:b/>
          <w:bCs/>
          <w:lang w:val="el" w:eastAsia="el"/>
        </w:rPr>
        <w:t>Οικονομικό Επιμελητήριο της Ελλάδας</w:t>
      </w:r>
    </w:p>
    <w:p>
      <w:pPr>
        <w:spacing w:before="240" w:after="240"/>
        <w:rPr>
          <w:lang w:val="el" w:eastAsia="el"/>
        </w:rPr>
      </w:pPr>
      <w:r>
        <w:rPr>
          <w:lang w:val="el" w:eastAsia="el"/>
        </w:rPr>
        <w:t xml:space="preserve">4. </w:t>
      </w:r>
      <w:r>
        <w:rPr>
          <w:b/>
          <w:bCs/>
          <w:lang w:val="el" w:eastAsia="el"/>
        </w:rPr>
        <w:t>Περιοδικό Φορολογική Επιθεώρηση (Πίνακας Ζ’)</w:t>
      </w:r>
    </w:p>
    <w:p>
      <w:pPr>
        <w:spacing w:before="240" w:after="240"/>
        <w:rPr>
          <w:lang w:val="el" w:eastAsia="el"/>
        </w:rPr>
      </w:pPr>
      <w:r>
        <w:rPr>
          <w:lang w:val="el" w:eastAsia="el"/>
        </w:rPr>
        <w:t xml:space="preserve">5. </w:t>
      </w:r>
      <w:r>
        <w:rPr>
          <w:b/>
          <w:bCs/>
          <w:lang w:val="el" w:eastAsia="el"/>
        </w:rPr>
        <w:t>Π.Ο.Ε. Δ.Ο.Υ.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Δ/νση Ελέγχων- Τμήματα Α΄, Η΄, Θ΄</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