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ΦΟΡΟΛΟΓΙΚΗΣ ΔΙΟΙΚΗΣΗΣ ΔΙΕΥΘΥΝΣΗ ΕΦΑΡΜΟΓΗΣ ΕΜΜΕΣΗΣ ΦΟΡΟΛΟΓΙΑΣ ΤΜΗΜΑ Α΄- ΦΠΑ</w:t>
      </w:r>
    </w:p>
    <w:p>
      <w:pPr>
        <w:spacing w:before="240" w:after="240"/>
        <w:rPr>
          <w:lang w:val="el" w:eastAsia="el"/>
        </w:rPr>
      </w:pPr>
      <w:r>
        <w:rPr>
          <w:b/>
          <w:bCs/>
          <w:lang w:val="el" w:eastAsia="el"/>
        </w:rPr>
        <w:t>ΘΕΜΑ : «Παροχή διευκρινίσεων ως προς τις Δασμολογικές Διακρίσεις πλοίων που εκτελούν πλόες στην ανοιχτή θάλασσα»</w:t>
      </w:r>
    </w:p>
    <w:p>
      <w:pPr>
        <w:spacing w:before="240" w:after="240"/>
        <w:rPr>
          <w:lang w:val="el" w:eastAsia="el"/>
        </w:rPr>
      </w:pPr>
      <w:r>
        <w:rPr>
          <w:b/>
          <w:bCs/>
          <w:lang w:val="el" w:eastAsia="el"/>
        </w:rPr>
        <w:t>ΣΧΕΤ. : α) Η υπ’ αριθμ. ΠΟΛ.1177/2018 κοινή απόφαση του Υπουργού Οικονομικών και του Υπουργού Ναυτιλίας και Νησιωτικής Πολιτικής β) Η υπ’ αριθμ. ΠΟΛ.1187/2018 απόφαση Διοικητή ΑΑΔΕ</w:t>
      </w:r>
    </w:p>
    <w:p>
      <w:pPr>
        <w:pStyle w:val="StructureList1"/>
        <w:spacing w:before="120" w:after="0"/>
        <w:rPr>
          <w:lang w:val="el" w:eastAsia="el"/>
        </w:rPr>
      </w:pPr>
      <w:r>
        <w:rPr>
          <w:lang w:val="el" w:eastAsia="el"/>
        </w:rPr>
        <w:t>γ)</w:t>
      </w:r>
      <w:r>
        <w:rPr>
          <w:lang w:val="en" w:eastAsia="en"/>
        </w:rPr>
        <w:tab/>
      </w:r>
      <w:r>
        <w:rPr>
          <w:b/>
          <w:bCs/>
          <w:lang w:val="el" w:eastAsia="el"/>
        </w:rPr>
        <w:t>Η υπ’ αριθ. ΔΔΘΕΚΑ Α 1095725 ΕΞ/2-11-2021 εγκύκλιος κοινοποίησης της νέας έκδοσης του Κοινού Δασμολογίου της Ε.Ε. (Συνδυασμένη Ονοματολογία – Σ.Ο. της Ε.Ε. καν. (ΕΟΚ) 2658/87)</w:t>
      </w:r>
    </w:p>
    <w:p>
      <w:pPr>
        <w:pStyle w:val="StructureList1"/>
        <w:spacing w:before="120" w:after="0"/>
        <w:rPr>
          <w:lang w:val="el" w:eastAsia="el"/>
        </w:rPr>
      </w:pPr>
      <w:r>
        <w:rPr>
          <w:lang w:val="el" w:eastAsia="el"/>
        </w:rPr>
        <w:t>δ)</w:t>
      </w:r>
      <w:r>
        <w:rPr>
          <w:lang w:val="en" w:eastAsia="en"/>
        </w:rPr>
        <w:tab/>
      </w:r>
      <w:r>
        <w:rPr>
          <w:b/>
          <w:bCs/>
          <w:lang w:val="el" w:eastAsia="el"/>
        </w:rPr>
        <w:t>Η υπ’ αριθ. ΔΔΘΕΚΑ Α 1112520 ΕΞ 2021/17 Δεκεμβρίου 2021, εγκύκλιος κοινοποίησης βασικών σημείων τροποποιήσεων στο Κοινό Δασμολόγιο – «Συνδυασμένη Ονοματολογία της Ε.Ε. από 1/1/2022»</w:t>
      </w:r>
    </w:p>
    <w:p>
      <w:pPr>
        <w:spacing w:before="240" w:after="240"/>
        <w:rPr>
          <w:lang w:val="el" w:eastAsia="el"/>
        </w:rPr>
      </w:pPr>
      <w:r>
        <w:rPr>
          <w:b/>
          <w:bCs/>
          <w:lang w:val="el" w:eastAsia="el"/>
        </w:rPr>
        <w:t>Σε απάντηση αναφορών και ερωτημάτων που έχουν υποβληθεί από τελωνειακές αρχές και οικονομικούς φορείς, σχετικά με τις νέες δασμολογικές διακρίσεις που πρόεκυψαν στην Δασμολογική κλάση 8903 και ειδικότερα τις επελθούσες αλλαγές στις Δασμολογικές διακρίσεις των πλοίων που εκτελούν πλόες στην ανοικτή θάλασσα, σας γνωρίζουμε τα ακόλουθα:</w:t>
      </w:r>
    </w:p>
    <w:p>
      <w:pPr>
        <w:spacing w:before="240" w:after="240"/>
        <w:rPr>
          <w:lang w:val="el" w:eastAsia="el"/>
        </w:rPr>
      </w:pPr>
      <w:r>
        <w:rPr>
          <w:lang w:val="el" w:eastAsia="el"/>
        </w:rPr>
        <w:t xml:space="preserve">1. </w:t>
      </w:r>
      <w:r>
        <w:rPr>
          <w:b/>
          <w:bCs/>
          <w:lang w:val="el" w:eastAsia="el"/>
        </w:rPr>
        <w:t>Σύμφωνα με την περίπτωση α, της παραγράφου 1 του άρθρου 27 του ν.2859/2000 «Κύρωση Κώδικα ΦΠΑ» απαλλάσσεται από τον φόρο προστιθεμένης αξίας (ΦΠΑ) η παράδοση και η εισαγωγή πλοίων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(υποπερίπτωση αα).</w:t>
      </w:r>
    </w:p>
    <w:p>
      <w:pPr>
        <w:spacing w:before="240" w:after="240"/>
        <w:rPr>
          <w:lang w:val="el" w:eastAsia="el"/>
        </w:rPr>
      </w:pPr>
      <w:r>
        <w:rPr>
          <w:lang w:val="el" w:eastAsia="el"/>
        </w:rPr>
        <w:t xml:space="preserve">2. </w:t>
      </w:r>
      <w:r>
        <w:rPr>
          <w:b/>
          <w:bCs/>
          <w:lang w:val="el" w:eastAsia="el"/>
        </w:rPr>
        <w:t>Περαιτέρω, σύμφωνα με τις διατάξεις της ίδιας παραγράφου, για την εφαρμογή της ανωτέρω απαλλαγής,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 xml:space="preserve">(i) </w:t>
      </w:r>
      <w:r>
        <w:rPr>
          <w:b/>
          <w:bCs/>
          <w:lang w:val="el" w:eastAsia="el"/>
        </w:rPr>
        <w:t>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p>
    <w:p>
      <w:pPr>
        <w:spacing w:before="240" w:after="240"/>
        <w:rPr>
          <w:lang w:val="el" w:eastAsia="el"/>
        </w:rPr>
      </w:pPr>
      <w:r>
        <w:rPr>
          <w:lang w:val="el" w:eastAsia="el"/>
        </w:rPr>
        <w:t xml:space="preserve">(ii) </w:t>
      </w:r>
      <w:r>
        <w:rPr>
          <w:b/>
          <w:bCs/>
          <w:lang w:val="el" w:eastAsia="el"/>
        </w:rPr>
        <w:t>διενεργούν δραστηριότητα κυρίως στην ανοικτή θάλασσα.</w:t>
      </w:r>
    </w:p>
    <w:p>
      <w:pPr>
        <w:spacing w:before="240" w:after="240"/>
        <w:rPr>
          <w:lang w:val="el" w:eastAsia="el"/>
        </w:rPr>
      </w:pPr>
      <w:r>
        <w:rPr>
          <w:b/>
          <w:bCs/>
          <w:lang w:val="el" w:eastAsia="el"/>
        </w:rPr>
        <w:t>Για την εφαρμογή των ως άνω διατάξεων, εκδόθηκαν οι:</w:t>
      </w:r>
    </w:p>
    <w:p>
      <w:pPr>
        <w:pStyle w:val="StructureList1"/>
        <w:spacing w:before="120" w:after="0"/>
        <w:rPr>
          <w:lang w:val="el" w:eastAsia="el"/>
        </w:rPr>
      </w:pPr>
      <w:r>
        <w:rPr>
          <w:lang w:val="el" w:eastAsia="el"/>
        </w:rPr>
        <w:t>α)</w:t>
      </w:r>
      <w:r>
        <w:rPr>
          <w:lang w:val="en" w:eastAsia="en"/>
        </w:rPr>
        <w:tab/>
      </w:r>
      <w:r>
        <w:rPr>
          <w:b/>
          <w:bCs/>
          <w:lang w:val="el" w:eastAsia="el"/>
        </w:rPr>
        <w:t>υπ’ αριθμ. ΠΟΛ.1177/2018 (ΦΕΚ Β΄4420/4.102.2018) κοινή απόφαση του Υπουργού Οικονομικών και του Υπουργού Ναυτιλίας και Νησιωτικής Πολιτικής, που εκδόθηκε κατ’ εξουσιοδότηση των διατάξεων της παρ. 1 του άρθρου 27 και</w:t>
      </w:r>
    </w:p>
    <w:p>
      <w:pPr>
        <w:pStyle w:val="StructureList1"/>
        <w:spacing w:before="120" w:after="0"/>
        <w:rPr>
          <w:lang w:val="el" w:eastAsia="el"/>
        </w:rPr>
      </w:pPr>
      <w:r>
        <w:rPr>
          <w:lang w:val="el" w:eastAsia="el"/>
        </w:rPr>
        <w:t>β)</w:t>
      </w:r>
      <w:r>
        <w:rPr>
          <w:lang w:val="en" w:eastAsia="en"/>
        </w:rPr>
        <w:tab/>
      </w:r>
      <w:r>
        <w:rPr>
          <w:b/>
          <w:bCs/>
          <w:lang w:val="el" w:eastAsia="el"/>
        </w:rPr>
        <w:t>υπ’ αριθμ. ΠΟΛ.1187/2018 απόφαση Διοικητή Α.Α.Δ.Ε. (ΦΕΚ Β' 4798/26.10.2018),</w:t>
      </w:r>
    </w:p>
    <w:p>
      <w:pPr>
        <w:spacing w:before="240" w:after="240"/>
        <w:rPr>
          <w:lang w:val="el" w:eastAsia="el"/>
        </w:rPr>
      </w:pPr>
      <w:r>
        <w:rPr>
          <w:b/>
          <w:bCs/>
          <w:lang w:val="el" w:eastAsia="el"/>
        </w:rPr>
        <w:t>με τις οποίες προκειμένου να θεωρηθούν ως πλοία ανοιχτής θάλασσας απαραίτητο στοιχείο είναι η κατάταξη στις εν λόγω δασμολογικές διακρίσεις, όπως αυτές αναφέρονται στο άρθρο 27 του κώδικα ΦΠΑ [ανωτέρω σημείο 2 (i)].</w:t>
      </w:r>
    </w:p>
    <w:p>
      <w:pPr>
        <w:spacing w:before="240" w:after="240"/>
        <w:rPr>
          <w:lang w:val="el" w:eastAsia="el"/>
        </w:rPr>
      </w:pPr>
      <w:r>
        <w:rPr>
          <w:lang w:val="el" w:eastAsia="el"/>
        </w:rPr>
        <w:t xml:space="preserve">3. </w:t>
      </w:r>
      <w:r>
        <w:rPr>
          <w:b/>
          <w:bCs/>
          <w:lang w:val="el" w:eastAsia="el"/>
        </w:rPr>
        <w:t>Επιπλέον, σε συνέχεια της ανωτέρω υπ’ αριθ. γ) σχετικής, γνωστοποιήθηκε η νέα έκδοση του Κοινού Δασμολογίου της Ε.Ε. (Συνδυασμένη Ονοματολογία – Σ.Ο. της Ε.Ε., καν. (ΕΟΚ) 2658/87, όπως ισχύει), η οποία δημοσιεύτηκε με τον καν. (ΕΕ) αριθ. 2021/1832 της Επιτροπής και περιλαμβάνει μεγάλο πλήθος τροποποιήσεων σε επίπεδο δασμολογικών κλάσεων, διακρίσεων και κωδικών Συνδυασμένης Ονοματολογίας.</w:t>
      </w:r>
    </w:p>
    <w:p>
      <w:pPr>
        <w:spacing w:before="240" w:after="240"/>
        <w:rPr>
          <w:lang w:val="el" w:eastAsia="el"/>
        </w:rPr>
      </w:pPr>
      <w:r>
        <w:rPr>
          <w:b/>
          <w:bCs/>
          <w:lang w:val="el" w:eastAsia="el"/>
        </w:rPr>
        <w:t>Από τις αλλαγές αυτές του Δασμολογίου προκύπτει η αντικατάσταση των κωδικών συνδυασμένης ονοματολογίας (ΣΟ) 890391 10 και 890392 10 οι οποίοι αναφέρονται στο άρθρο 27 του κώδικα ΦΠΑ (ν. 2850/00).</w:t>
      </w:r>
    </w:p>
    <w:p>
      <w:pPr>
        <w:spacing w:before="240" w:after="240"/>
        <w:rPr>
          <w:lang w:val="el" w:eastAsia="el"/>
        </w:rPr>
      </w:pPr>
      <w:r>
        <w:rPr>
          <w:b/>
          <w:bCs/>
          <w:lang w:val="el" w:eastAsia="el"/>
        </w:rPr>
        <w:t>Ειδικότερα ο κωδικός ΣΟ 8903 91 10, αντικαθίσταται από τους κωδικούς ΣΟ 8903 22 10 και 8903 23 10 και ο κωδικός ΣΟ 8903 92 10 αντικαθίσταται αντίστοιχα από τους κωδικούς ΣΟ 8903 32 10 και ΣΟ 8903 33 10, προκειμένου να διαχωρίζονται από πλευράς κατάταξης, με βάση το μήκος τους, τα εν λόγω σκάφη χωρίς όμως να διαφοροποιούνται τα σκάφη που περιλαμβάνονται στους εν λόγω κωδικούς.</w:t>
      </w:r>
    </w:p>
    <w:p>
      <w:pPr>
        <w:spacing w:before="240" w:after="240"/>
        <w:rPr>
          <w:lang w:val="el" w:eastAsia="el"/>
        </w:rPr>
      </w:pPr>
      <w:r>
        <w:rPr>
          <w:lang w:val="el" w:eastAsia="el"/>
        </w:rPr>
        <w:t xml:space="preserve">4. </w:t>
      </w:r>
      <w:r>
        <w:rPr>
          <w:b/>
          <w:bCs/>
          <w:lang w:val="el" w:eastAsia="el"/>
        </w:rPr>
        <w:t xml:space="preserve">Συναφώς </w:t>
      </w:r>
      <w:r>
        <w:rPr>
          <w:b/>
          <w:bCs/>
          <w:u w:val="single"/>
          <w:lang w:val="el" w:eastAsia="el"/>
        </w:rPr>
        <w:t>και για την αποφυγή παρερμηνειών</w:t>
      </w:r>
      <w:r>
        <w:rPr>
          <w:b/>
          <w:bCs/>
          <w:lang w:val="el" w:eastAsia="el"/>
        </w:rPr>
        <w:t xml:space="preserve"> διευκρινίζεται ότι με την ανωτέρω αλλαγή στους κωδικούς συνδυασμένης ονοματολογίας, στο πλαίσιο της εφαρμογής του Κοινού Δασμολογίου της Ε.Ε. (Καν. (ΕΟΚ) αριθμ. 2658/87 του Συμβουλίου, όπως εκάστοτε ισχύει, δεν επέρχεται μεταβολή στο ισχύον νομικό πλαίσιο της παραγράφου 1 του άρθρου 27, ως προς τα σκάφη τα οποία απαλλάσσονται από τον φόρο, αλλά μόνο ως προς την χρήση των νέων κωδικών ΣΟ 8903 22 10, 8903 23 10, ΣΟ 8903 32 10 και 8903 33 10, ενώ κατά τα λοιπά ισχύουν οι ίδιοι όροι και προϋποθέσεις, αναφορικά με την διενέργεια δραστηριότητας πλοίων στην ανοιχτή θάλασσα για σκοπούς χορήγησης απαλλαγών από το ΦΠΑ, </w:t>
      </w:r>
      <w:r>
        <w:rPr>
          <w:b/>
          <w:bCs/>
          <w:u w:val="single"/>
          <w:lang w:val="el" w:eastAsia="el"/>
        </w:rPr>
        <w:t xml:space="preserve">έτσι όπως αυτές ορίζονται σωρευτικά από το άρθρο </w:t>
      </w:r>
      <w:r>
        <w:rPr>
          <w:b/>
          <w:bCs/>
          <w:u w:val="single"/>
          <w:lang w:val="el" w:eastAsia="el"/>
        </w:rPr>
        <w:t xml:space="preserve">27 </w:t>
      </w:r>
      <w:r>
        <w:rPr>
          <w:b/>
          <w:bCs/>
          <w:u w:val="single"/>
          <w:lang w:val="el" w:eastAsia="el"/>
        </w:rPr>
        <w:t>του Κώδικα ΦΠΑ, την ΠΟΛ.1177/2018 ΚΥΑ και την ΠΟΛ.1187/2018 Απόφαση Διοικητή ΑΑΔΕ, όπως ισχύουν</w:t>
      </w:r>
      <w:r>
        <w:rPr>
          <w:b/>
          <w:bCs/>
          <w:lang w:val="el" w:eastAsia="el"/>
        </w:rPr>
        <w:t>.</w:t>
      </w:r>
    </w:p>
    <w:p>
      <w:pPr>
        <w:spacing w:before="240" w:after="240"/>
        <w:rPr>
          <w:lang w:val="el" w:eastAsia="el"/>
        </w:rPr>
      </w:pPr>
      <w:r>
        <w:rPr>
          <w:lang w:val="el" w:eastAsia="el"/>
        </w:rPr>
        <w:t xml:space="preserve">5. </w:t>
      </w:r>
      <w:r>
        <w:rPr>
          <w:b/>
          <w:bCs/>
          <w:lang w:val="el" w:eastAsia="el"/>
        </w:rPr>
        <w:t>Κατόπιν των ανωτέρω, παρακαλείσθε, με ευθύνη των αρμόδιων τμημάτων, να ενημερώνονται οι έχοντες υποβάλει δήλωση Διενέργειας για τα ανωτέρω πλοία των οποίων ο κωδικός ΣΟ έχει αλλάξει από την 01/01/2022, ώστε να επικαιροποιηθούν αυτές οι δηλώσεις Διενέργειας βάσει των νέων κωδικών ΣΟ του Κοινού Δασμολογίου της Ε.Ε. (Καν. (ΕΟΚ) αριθμ. 2658/87 του Συμβουλίου), όπως ισχύει.</w:t>
      </w:r>
    </w:p>
    <w:p>
      <w:pPr>
        <w:spacing w:before="240" w:after="240"/>
        <w:rPr>
          <w:lang w:val="el" w:eastAsia="el"/>
        </w:rPr>
      </w:pPr>
      <w:r>
        <w:rPr>
          <w:b/>
          <w:bCs/>
          <w:lang w:val="el" w:eastAsia="el"/>
        </w:rPr>
        <w:t>Τέλος, oι αρμόδιες Τελωνειακές και Φορολογικές Αρχές, στις οποίες κοινοποιείται η παρούσα, παρακαλούνται να λάβουν υπόψη τους τα διαλαμβανόμενα σε αυτή, έτσι ώστε να μην παρατηρούνται καθυστερήσεις στους τελωνισμούς σκαφών και την χορήγηση σχετικών απαλλαγών.</w:t>
      </w:r>
    </w:p>
    <w:p>
      <w:pPr>
        <w:spacing w:before="240" w:after="240"/>
        <w:rPr>
          <w:lang w:val="el" w:eastAsia="el"/>
        </w:rPr>
      </w:pPr>
      <w:r>
        <w:rPr>
          <w:b/>
          <w:bCs/>
          <w:lang w:val="el" w:eastAsia="el"/>
        </w:rPr>
        <w:t>Για τη διευκόλυνσή σας, παρατίθεται, στη συνέχεια πίνακας «Πίνακας 1» στον οποίο παρουσιάζονται αναλυτικά οι δασμολογικές διακρίσεις των πλοίων που αναφέρονται στο άρθρο 27 παρ. 1), όπως ισχύουν από την 01/01/2022.</w:t>
      </w:r>
    </w:p>
    <w:p>
      <w:pPr>
        <w:spacing w:before="240" w:after="240"/>
        <w:rPr>
          <w:lang w:val="el" w:eastAsia="el"/>
        </w:rPr>
      </w:pPr>
      <w:r>
        <w:rPr>
          <w:b/>
          <w:bCs/>
          <w:lang w:val="el" w:eastAsia="el"/>
        </w:rPr>
        <w:t>Πίνακας 1. Αναλυτική περιγραφή δασμολογικών διακρίσεων άρθρου 27 του ν.2859/2000 κανονισμού (ΕΟΚ) όπως ισχύουν από 01/01/2022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2"/>
        <w:gridCol w:w="1630"/>
        <w:gridCol w:w="54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Συνδυασμένη ονοματολογία βάσει άρθρου 27 του ν.2859/2000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Ισχύουσα Διάκριση από 01/01/202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8901 10 10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Επιβατικά πλοία, κρουαζιερόπλοια και παρόμοια πλοία που έχουν κατασκευασθεί κυρίως για τη μεταφορά προσώπων.</w:t>
            </w:r>
          </w:p>
          <w:p>
            <w:pPr>
              <w:spacing w:before="240"/>
              <w:rPr>
                <w:b w:val="0"/>
                <w:bCs w:val="0"/>
                <w:i w:val="0"/>
                <w:iCs w:val="0"/>
                <w:smallCaps w:val="0"/>
                <w:color w:val="000000"/>
                <w:lang w:val="el" w:eastAsia="el"/>
              </w:rPr>
            </w:pPr>
            <w:r>
              <w:rPr>
                <w:b/>
                <w:bCs/>
                <w:i w:val="0"/>
                <w:iCs w:val="0"/>
                <w:smallCaps w:val="0"/>
                <w:color w:val="000000"/>
                <w:lang w:val="el" w:eastAsia="el"/>
              </w:rPr>
              <w:t>Οχηματαγωγά (φέρι-μποτ)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8901 20 10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Δεξαμενόπλοια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8901 30 10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Ψυγεία, άλλα από εκείνα της διάκρισης 8901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8901 90 10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Άλλα πλοία για τη μεταφορά εμπορευμάτων και άλλα πλοία που έχουν ναυπηγηθεί συγχρόνως για τη μεταφορά προσώπων και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8902 00 10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Αλιευτικά πλοία. Πλοία-εργοστάσια και άλλα πλοία για την επεξεργασία ή την κονσερβοποίηση των προϊόντων της αλιείας.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8903 91 10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8903 22 10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Ιστιοφόρα πλοία, άλλα από τα φουσκωτά, έστω και με βοηθητικό κινητήρα, με μήκος που υπερβαίνει τα 7,5 m αλλά δεν υπερβαίνει τα 24 m. Για τη θαλάσσια ναυσιπλοΐα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8903 23 10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Ιστιοφόρα πλοία, άλλα από τα φουσκωτά, έστω και με βοηθητικό κινητήρα, με μήκος που υπερβαίνει τα 24 m. Για τη θαλάσσια ναυσιπλοΐα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8903 92 10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8903 32 10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με κινητήρα, άλλα από τα φουσκωτά, άλλα από εκείνα με εξωλέμβια μηχανή, με μήκος που υπερβαίνει τα 7,5 m αλλά δεν υπερβαίνει τα 24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8903 33 10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με κινητήρα, άλλα από τα φουσκωτά, άλλα από εκείνα με εξωλέμβια μηχανή, με μήκος που υπερβαίνει τα 24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8904 00 91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Πλοία ρυμουλκά και πλοία προωθητικά, για τη θαλάσσια ναυσιπλοΐα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8906 90 10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Άλλα πλοία, στα οποία περιλαμβάνονται και τα πολεμικά πλοία και τα ναυαγοσωστικά πλοία, άλλα από εκείνα με κουπιά, για τη</w:t>
            </w:r>
          </w:p>
        </w:tc>
      </w:tr>
    </w:tbl>
    <w:p>
      <w:pPr>
        <w:spacing w:before="240" w:after="240"/>
        <w:rPr>
          <w:lang w:val="el" w:eastAsia="el"/>
        </w:rPr>
      </w:pPr>
      <w:r>
        <w:rPr>
          <w:b/>
          <w:bCs/>
          <w:lang w:val="el" w:eastAsia="el"/>
        </w:rPr>
        <w:t xml:space="preserve">] </w:t>
      </w:r>
      <w:r>
        <w:rPr>
          <w:b/>
          <w:bCs/>
          <w:u w:val="single"/>
          <w:lang w:val="el" w:eastAsia="el"/>
        </w:rPr>
        <w:t>θαλάσσια ναυσιπλοΐα</w:t>
      </w:r>
    </w:p>
    <w:p>
      <w:pPr>
        <w:spacing w:before="240" w:after="240"/>
        <w:rPr>
          <w:lang w:val="el" w:eastAsia="el"/>
        </w:rPr>
      </w:pPr>
      <w:r>
        <w:rPr>
          <w:b/>
          <w:bCs/>
          <w:lang w:val="el" w:eastAsia="el"/>
        </w:rPr>
        <w:t>Ο ΔΙΟΙΚΗΤΗΣ ΤΗΣ ΑΑΔΕ α.α.</w:t>
      </w:r>
    </w:p>
    <w:p>
      <w:pPr>
        <w:spacing w:before="240" w:after="240"/>
        <w:rPr>
          <w:lang w:val="el" w:eastAsia="el"/>
        </w:rPr>
      </w:pPr>
      <w:r>
        <w:rPr>
          <w:b/>
          <w:bCs/>
          <w:lang w:val="el" w:eastAsia="el"/>
        </w:rPr>
        <w:t>Γ.ΦΑΚΟΣ</w:t>
      </w:r>
    </w:p>
    <w:p>
      <w:pPr>
        <w:spacing w:before="240" w:after="240"/>
        <w:rPr>
          <w:lang w:val="el" w:eastAsia="el"/>
        </w:rPr>
      </w:pPr>
      <w:r>
        <w:rPr>
          <w:b/>
          <w:bCs/>
          <w:lang w:val="el" w:eastAsia="el"/>
        </w:rPr>
        <w:t>ΔΔΑΔΓ1116833 ΕΞ 2021/23-12-2021</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μόνο 1, 6 και 7 αυτού)</w:t>
      </w:r>
    </w:p>
    <w:p>
      <w:pPr>
        <w:spacing w:before="240" w:after="240"/>
        <w:rPr>
          <w:lang w:val="el" w:eastAsia="el"/>
        </w:rPr>
      </w:pPr>
      <w:r>
        <w:rPr>
          <w:lang w:val="el" w:eastAsia="el"/>
        </w:rPr>
        <w:t xml:space="preserve">2. </w:t>
      </w:r>
      <w:r>
        <w:rPr>
          <w:b/>
          <w:bCs/>
          <w:lang w:val="el" w:eastAsia="el"/>
        </w:rPr>
        <w:t>Αποδέκτες πίνακα Δ΄(εκτός του αριθμού 4 αυτού)</w:t>
      </w:r>
    </w:p>
    <w:p>
      <w:pPr>
        <w:spacing w:before="240" w:after="240"/>
        <w:rPr>
          <w:lang w:val="el" w:eastAsia="el"/>
        </w:rPr>
      </w:pPr>
      <w:r>
        <w:rPr>
          <w:lang w:val="el" w:eastAsia="el"/>
        </w:rPr>
        <w:t xml:space="preserve">3.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 xml:space="preserve">Δ/νση Στρατηγικής Τεχνολογιών Πληροφορικής (ΔΙ.Σ.ΤΕ.ΠΛ) της Γ.Δ.ΗΕΛ.Δ (για την ενημέρωση της Ηλεκτρονικής Βιβλιοθήκης και του portal της Α.Α.Δ.Ε) (e-mail : </w:t>
      </w:r>
      <w:hyperlink r:id="rId4" w:history="1">
        <w:r>
          <w:rPr>
            <w:rStyle w:val="Hyperlink"/>
            <w:b/>
            <w:bCs/>
            <w:color w:val="0000EE"/>
            <w:u w:color="0000EE"/>
            <w:lang w:val="el" w:eastAsia="el"/>
          </w:rPr>
          <w:t>siteadmin@aade.gr</w:t>
        </w:r>
      </w:hyperlink>
      <w:r>
        <w:rPr>
          <w:b/>
          <w:bCs/>
          <w:lang w:val="el" w:eastAsia="el"/>
        </w:rPr>
        <w:t xml:space="preserve"> )</w:t>
      </w:r>
    </w:p>
    <w:p>
      <w:pPr>
        <w:spacing w:before="240" w:after="240"/>
        <w:rPr>
          <w:lang w:val="el" w:eastAsia="el"/>
        </w:rPr>
      </w:pPr>
      <w:r>
        <w:rPr>
          <w:lang w:val="el" w:eastAsia="el"/>
        </w:rPr>
        <w:t xml:space="preserve">5. </w:t>
      </w:r>
      <w:r>
        <w:rPr>
          <w:b/>
          <w:bCs/>
          <w:lang w:val="el" w:eastAsia="el"/>
        </w:rPr>
        <w:t xml:space="preserve">Δ/νση Επιχειρησιακών Διαδικασιών (ΔΙ.ΕΠΙ.ΔΙ), Υποδιεύθυνση Α΄: Απαιτήσεων και Ελέγχου Εφαρμογών Φορολογίας (για την ανάρτηση στο portal του TAXISnet), Υποδιεύθυνση Β΄: Απαιτήσεων και Ελέγχου Εφαρμογών Τελωνείων (για την ανάρτηση στο portal του ICISnet) (email: </w:t>
      </w:r>
      <w:hyperlink r:id="rId5" w:history="1">
        <w:r>
          <w:rPr>
            <w:rStyle w:val="Hyperlink"/>
            <w:b/>
            <w:bCs/>
            <w:color w:val="0000EE"/>
            <w:u w:color="0000EE"/>
            <w:lang w:val="el" w:eastAsia="el"/>
          </w:rPr>
          <w:t>secr_icis@aade.gr</w:t>
        </w:r>
      </w:hyperlink>
      <w:r>
        <w:rPr>
          <w:b/>
          <w:bCs/>
          <w:lang w:val="el" w:eastAsia="el"/>
        </w:rPr>
        <w:t>)</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Β΄(εκτός του αριθμού 5 αυτού),</w:t>
      </w:r>
    </w:p>
    <w:p>
      <w:pPr>
        <w:spacing w:before="240" w:after="240"/>
        <w:rPr>
          <w:lang w:val="el" w:eastAsia="el"/>
        </w:rPr>
      </w:pPr>
      <w:r>
        <w:rPr>
          <w:lang w:val="el" w:eastAsia="el"/>
        </w:rPr>
        <w:t xml:space="preserve">2. </w:t>
      </w:r>
      <w:r>
        <w:rPr>
          <w:b/>
          <w:bCs/>
          <w:lang w:val="el" w:eastAsia="el"/>
        </w:rPr>
        <w:t>Αποδέκτες Πίνακα Η΄</w:t>
      </w:r>
    </w:p>
    <w:p>
      <w:pPr>
        <w:spacing w:before="240" w:after="240"/>
        <w:rPr>
          <w:lang w:val="el" w:eastAsia="el"/>
        </w:rPr>
      </w:pPr>
      <w:r>
        <w:rPr>
          <w:lang w:val="el" w:eastAsia="el"/>
        </w:rPr>
        <w:t xml:space="preserve">3. </w:t>
      </w:r>
      <w:r>
        <w:rPr>
          <w:b/>
          <w:bCs/>
          <w:lang w:val="el" w:eastAsia="el"/>
        </w:rPr>
        <w:t>Αποδέκτες Πίνακα Θ΄ (μόνο 10,17 και 18 αυτού)</w:t>
      </w:r>
    </w:p>
    <w:p>
      <w:pPr>
        <w:spacing w:before="240" w:after="240"/>
        <w:rPr>
          <w:lang w:val="el" w:eastAsia="el"/>
        </w:rPr>
      </w:pPr>
      <w:r>
        <w:rPr>
          <w:lang w:val="el" w:eastAsia="el"/>
        </w:rPr>
        <w:t xml:space="preserve">4. </w:t>
      </w:r>
      <w:r>
        <w:rPr>
          <w:b/>
          <w:bCs/>
          <w:lang w:val="el" w:eastAsia="el"/>
        </w:rPr>
        <w:t>Αποδέκτες Πίνακα ΙΒ΄(μόνο αρ.2 αυτού): Κεντρική Ένωση Επιμελητηρίων Ελλάδας (Κ.Ε.Ε) με παράκληση να ενημερώσουν τα μέλη τους</w:t>
      </w:r>
    </w:p>
    <w:p>
      <w:pPr>
        <w:spacing w:before="240" w:after="240"/>
        <w:rPr>
          <w:lang w:val="el" w:eastAsia="el"/>
        </w:rPr>
      </w:pPr>
      <w:r>
        <w:rPr>
          <w:lang w:val="el" w:eastAsia="el"/>
        </w:rPr>
        <w:t xml:space="preserve">5. </w:t>
      </w:r>
      <w:r>
        <w:rPr>
          <w:b/>
          <w:bCs/>
          <w:lang w:val="el" w:eastAsia="el"/>
        </w:rPr>
        <w:t>Αποδέκτες Πίνακα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Δ/ντη Φορολογικής Διοίκησης</w:t>
      </w:r>
    </w:p>
    <w:p>
      <w:pPr>
        <w:spacing w:before="240" w:after="240"/>
        <w:rPr>
          <w:lang w:val="el" w:eastAsia="el"/>
        </w:rPr>
      </w:pPr>
      <w:r>
        <w:rPr>
          <w:lang w:val="el" w:eastAsia="el"/>
        </w:rPr>
        <w:t xml:space="preserve">3. </w:t>
      </w:r>
      <w:r>
        <w:rPr>
          <w:b/>
          <w:bCs/>
          <w:lang w:val="el" w:eastAsia="el"/>
        </w:rPr>
        <w:t>Αυτοτελές Τμήμα Υποστήριξης Γενικής Διεύθυνσης Τελωνείων &amp; Ε.Φ.Κ.</w:t>
      </w:r>
    </w:p>
    <w:p>
      <w:pPr>
        <w:spacing w:before="240" w:after="240"/>
        <w:rPr>
          <w:lang w:val="el" w:eastAsia="el"/>
        </w:rPr>
      </w:pPr>
      <w:r>
        <w:rPr>
          <w:lang w:val="el" w:eastAsia="el"/>
        </w:rPr>
        <w:t xml:space="preserve">4. </w:t>
      </w:r>
      <w:r>
        <w:rPr>
          <w:b/>
          <w:bCs/>
          <w:lang w:val="el" w:eastAsia="el"/>
        </w:rPr>
        <w:t>Δ/νση Εφαρμογής Έμμεσης Φορολογίας</w:t>
      </w:r>
    </w:p>
    <w:p>
      <w:pPr>
        <w:spacing w:before="240" w:after="240"/>
        <w:rPr>
          <w:lang w:val="el" w:eastAsia="el"/>
        </w:rPr>
      </w:pPr>
      <w:r>
        <w:rPr>
          <w:lang w:val="el" w:eastAsia="el"/>
        </w:rPr>
        <w:t xml:space="preserve">5. </w:t>
      </w:r>
      <w:r>
        <w:rPr>
          <w:b/>
          <w:bCs/>
          <w:lang w:val="el" w:eastAsia="el"/>
        </w:rPr>
        <w:t>Δ/νση Δασμολ. Θεμάτων &amp; Ειδικών Καθεστώτων &amp; Απαλλαγών (Τμήμα Α’ )</w:t>
      </w:r>
    </w:p>
    <w:p>
      <w:pPr>
        <w:spacing w:before="240" w:after="240"/>
        <w:rPr>
          <w:lang w:val="el" w:eastAsia="el"/>
        </w:rPr>
      </w:pPr>
      <w:r>
        <w:rPr>
          <w:lang w:val="el" w:eastAsia="el"/>
        </w:rPr>
        <w:t xml:space="preserve">6. </w:t>
      </w:r>
      <w:r>
        <w:rPr>
          <w:b/>
          <w:bCs/>
          <w:lang w:val="el" w:eastAsia="el"/>
        </w:rPr>
        <w:t>Διεύθυνση Ειδικών Φόρων Κατανάλωσης και Φ.Π.Α. (Τμήμα Ε΄)</w:t>
      </w:r>
    </w:p>
    <w:p>
      <w:pPr>
        <w:spacing w:before="240" w:after="240"/>
        <w:rPr>
          <w:lang w:val="el" w:eastAsia="el"/>
        </w:rPr>
      </w:pPr>
      <w:r>
        <w:rPr>
          <w:lang w:val="el" w:eastAsia="el"/>
        </w:rPr>
        <w:t xml:space="preserve">7. </w:t>
      </w:r>
      <w:r>
        <w:rPr>
          <w:b/>
          <w:bCs/>
          <w:lang w:val="el" w:eastAsia="el"/>
        </w:rPr>
        <w:t>Δ/νση Στρατηγικής Τελωνειακών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cr_i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