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ΚΑΙ ΠΕΡΙΟΥΣΙΟΛΟΓΙΟΥ</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Χανδρή 1 &amp; Θεσσαλονίκης</w:t>
      </w:r>
    </w:p>
    <w:p>
      <w:pPr>
        <w:spacing w:before="240" w:after="240"/>
        <w:rPr>
          <w:lang w:val="el" w:eastAsia="el"/>
        </w:rPr>
      </w:pPr>
      <w:r>
        <w:rPr>
          <w:b/>
          <w:bCs/>
          <w:lang w:val="el" w:eastAsia="el"/>
        </w:rPr>
        <w:t xml:space="preserve">183 46 - Μοσχάτο 210 4802703 </w:t>
      </w:r>
      <w:hyperlink r:id="rId4" w:history="1">
        <w:r>
          <w:rPr>
            <w:rStyle w:val="Hyperlink"/>
            <w:b/>
            <w:bCs/>
            <w:color w:val="0000EE"/>
            <w:u w:color="0000EE"/>
            <w:lang w:val="el" w:eastAsia="el"/>
          </w:rPr>
          <w:t>defk.b @aade.gr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Θέμα: : «Παροχή οδηγιών για την υποβολή δηλώσεων φόρου κληρονομιάς σε έντυπη μορφή»</w:t>
      </w:r>
    </w:p>
    <w:p>
      <w:pPr>
        <w:spacing w:before="240" w:after="240"/>
        <w:rPr>
          <w:lang w:val="el" w:eastAsia="el"/>
        </w:rPr>
      </w:pPr>
      <w:r>
        <w:rPr>
          <w:b/>
          <w:bCs/>
          <w:u w:val="single"/>
          <w:lang w:val="el" w:eastAsia="el"/>
        </w:rPr>
        <w:t>ΠΕΡΙΛΗΨΗ</w:t>
      </w:r>
    </w:p>
    <w:p>
      <w:pPr>
        <w:spacing w:before="240" w:after="240"/>
        <w:rPr>
          <w:lang w:val="el" w:eastAsia="el"/>
        </w:rPr>
      </w:pPr>
      <w:r>
        <w:rPr>
          <w:b/>
          <w:bCs/>
          <w:u w:val="single"/>
          <w:lang w:val="el" w:eastAsia="el"/>
        </w:rPr>
        <w:t>Α)ΑΝΤΙΚΕΙΜΕΝΟ</w:t>
      </w:r>
    </w:p>
    <w:p>
      <w:pPr>
        <w:spacing w:before="240" w:after="240"/>
        <w:rPr>
          <w:lang w:val="el" w:eastAsia="el"/>
        </w:rPr>
      </w:pPr>
      <w:r>
        <w:rPr>
          <w:b/>
          <w:bCs/>
          <w:u w:val="single"/>
          <w:lang w:val="el" w:eastAsia="el"/>
        </w:rPr>
        <w:t>Εγκύκλιος που αφορά την παροχή οδηγιών και διευκρινίσεων για την υποβολή δηλώσεων φόρου κληρονομιάς ακινήτων σε έντυπη μορφή.</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Περιεχόμενο της εγκυκλίου είναι η παροχή οδηγιών για την υποβολή των δηλώσεων φόρου κληρονομιάς.</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Η εγκύκλιος αφορά φυσικά ή νομικά πρόσωπα υπόχρεα σε φόρο κληρονομιάς, που αποκτούν περιουσιακά στοιχεία αιτία θανάτου, τρίτα πρόσωπα και τις Δ.Ο.Υ.</w:t>
      </w:r>
    </w:p>
    <w:p>
      <w:pPr>
        <w:spacing w:before="240" w:after="240"/>
        <w:rPr>
          <w:lang w:val="el" w:eastAsia="el"/>
        </w:rPr>
      </w:pPr>
      <w:r>
        <w:rPr>
          <w:b/>
          <w:bCs/>
          <w:u w:val="single"/>
          <w:lang w:val="el" w:eastAsia="el"/>
        </w:rPr>
        <w:t>Με στόχο τη βέλτιστη εξυπηρέτηση των φορολογουμένων, κατόπιν και της υλοποίησης της ψηφιακής υποβολής, μέσω της εφαρμογής myPROPERTY της Ενιαίας Ψηφιακής Πύλης της Δημόσιας Διοίκησης (http//myproperty.aade.gov.gr), των αρχικών και τροποποιητικών δηλώσεων φόρου κληρονομιάς, για θανάτους από 01/01/2022, παρέχουμε τις ακόλουθες διευκρινίσεις και οδηγίες για την ορθή και ομοιόμορφη εφαρμογή των διατάξεων του άρθρου 61 του Κώδικα διατάξεων φορολογίας κληρονομιών, δωρεών, γονικών παροχών και κερδών από τυχερά παίγνια, ο οποίος κυρώθηκε με το πρώτο άρθρο του ν. 2961/2001 αναφορικά με την υποβολή των δηλώσεων φόρου κληρονομιάς σε έντυπη μορφή.</w:t>
      </w:r>
    </w:p>
    <w:p>
      <w:pPr>
        <w:spacing w:before="240" w:after="240"/>
        <w:rPr>
          <w:lang w:val="el" w:eastAsia="el"/>
        </w:rPr>
      </w:pPr>
      <w:r>
        <w:rPr>
          <w:u w:val="single"/>
          <w:lang w:val="el" w:eastAsia="el"/>
        </w:rPr>
        <w:t xml:space="preserve">1. </w:t>
      </w:r>
      <w:r>
        <w:rPr>
          <w:b/>
          <w:bCs/>
          <w:u w:val="single"/>
          <w:lang w:val="el" w:eastAsia="el"/>
        </w:rPr>
        <w:t xml:space="preserve">Σύμφωνα με τις διατάξεις του άρθρου 61 του ανωτέρω Κώδικα η δήλωση φόρου κληρονομιάς για την περιουσία που αποκτάται αιτία θανάτου υποβάλλεται από το πρόσωπο που είναι κατά τις ουσιαστικές διατάξεις υπόχρεο σε φόρο κληρονομιάς και σε περίπτωση ανικανότητας αυτού από τον νόμιμο αντιπρόσωπό του. </w:t>
      </w:r>
      <w:r>
        <w:rPr>
          <w:b/>
          <w:bCs/>
          <w:u w:val="single"/>
          <w:lang w:val="el" w:eastAsia="el"/>
        </w:rPr>
        <w:t>Εφόσον συντάσσεται συμβολαιογραφική πράξη</w:t>
      </w:r>
      <w:r>
        <w:rPr>
          <w:b/>
          <w:bCs/>
          <w:u w:val="single"/>
          <w:lang w:val="el" w:eastAsia="el"/>
        </w:rPr>
        <w:t xml:space="preserve">, η δήλωση φόρου κληρονομιάς </w:t>
      </w:r>
      <w:r>
        <w:rPr>
          <w:b/>
          <w:bCs/>
          <w:u w:val="single"/>
          <w:lang w:val="el" w:eastAsia="el"/>
        </w:rPr>
        <w:t>συμπληρώνεται από τον συμβολαιογράφο που πρόκειται να καταρτίσει τη συμβολαιογραφική πράξη.</w:t>
      </w:r>
    </w:p>
    <w:p>
      <w:pPr>
        <w:spacing w:before="240" w:after="240"/>
        <w:rPr>
          <w:lang w:val="el" w:eastAsia="el"/>
        </w:rPr>
      </w:pPr>
      <w:r>
        <w:rPr>
          <w:b/>
          <w:bCs/>
          <w:u w:val="single"/>
          <w:lang w:val="el" w:eastAsia="el"/>
        </w:rPr>
        <w:t xml:space="preserve">Σύμφωνα με τις διατάξεις του κληρονομικού δικαίου συμβολαιογραφικό έγγραφο συντάσσεται στην περίπτωση ρητής αποδοχής κληρονομιάς με σκοπό τη μεταγραφή της στο αρμόδιο υποθηκοφυλακείο, ώστε να αποκτηθεί η κυριότητα επί ακινήτου της κληρονομιάς. Η σύνταξη της πράξης αποδοχής κληρονομιάς και η μεταγραφή της στο οικείο Υποθηκοφυλακείο </w:t>
      </w:r>
      <w:r>
        <w:rPr>
          <w:b/>
          <w:bCs/>
          <w:u w:val="single"/>
          <w:lang w:val="el" w:eastAsia="el"/>
        </w:rPr>
        <w:t>δεν συναρτάται με την ιδιότητα του κληρονόμου</w:t>
      </w:r>
      <w:r>
        <w:rPr>
          <w:b/>
          <w:bCs/>
          <w:u w:val="single"/>
          <w:lang w:val="el" w:eastAsia="el"/>
        </w:rPr>
        <w:t>.</w:t>
      </w:r>
    </w:p>
    <w:p>
      <w:pPr>
        <w:spacing w:before="240" w:after="240"/>
        <w:rPr>
          <w:lang w:val="el" w:eastAsia="el"/>
        </w:rPr>
      </w:pPr>
      <w:r>
        <w:rPr>
          <w:u w:val="single"/>
          <w:lang w:val="el" w:eastAsia="el"/>
        </w:rPr>
        <w:t xml:space="preserve">2. </w:t>
      </w:r>
      <w:r>
        <w:rPr>
          <w:b/>
          <w:bCs/>
          <w:u w:val="single"/>
          <w:lang w:val="el" w:eastAsia="el"/>
        </w:rPr>
        <w:t>Με την Α. 1151/2022 (Β΄5603) απόφαση Διοικητή ΑΑΔΕ καθορίστηκε, για θανάτους από 1/1/2022, η διαδικασία ψηφιακής υποβολής μέσω της εφαρμογής myPROPERTY των δηλώσεων φόρου κληρονομιάς κινητών και ακινήτων εντός αντικειμενικού συστήματος. Ειδικότερα, στην περίπτωση όπου συντάσσεται συμβολαιογραφική πράξη αποδοχής κληρονομιάς οι δηλώσεις κληρονομιάς ακινήτων συμπληρώνονται από τον πιστοποιημένο συμβολαιογράφο που θα καταρτίσει την συμβολαιογραφική πράξη της αποδοχής και υποβάλλονται από τον υπόχρεο σε δήλωση με τη χρήση των προσωπικών του κωδικών TAXISnet.</w:t>
      </w:r>
    </w:p>
    <w:p>
      <w:pPr>
        <w:spacing w:before="240" w:after="240"/>
        <w:rPr>
          <w:lang w:val="el" w:eastAsia="el"/>
        </w:rPr>
      </w:pPr>
      <w:r>
        <w:rPr>
          <w:b/>
          <w:bCs/>
          <w:u w:val="single"/>
          <w:lang w:val="el" w:eastAsia="el"/>
        </w:rPr>
        <w:t>Εφόσον πρόκειται για ακίνητα, για τα οποία δεν συντάσσεται συμβολαιογραφική πράξη αποδοχής κληρονομίας</w:t>
      </w:r>
      <w:r>
        <w:rPr>
          <w:b/>
          <w:bCs/>
          <w:u w:val="single"/>
          <w:lang w:val="el" w:eastAsia="el"/>
        </w:rPr>
        <w:t>, η υποβολή της δήλωσης φόρου κληρονομιάς γίνεται σε έντυπη μορφή είτε μέσω της εφαρμογής «Τα Αιτήματά μου», είτε με τη διαδικασία που καθορίζεται στην υπό στοιχεία Α. 1137/2020 (Β' 2423) απόφαση του Διοικητή της ΑΑΔΕ, όπως ισχύει μετά την Α. 1054/2022 (Β΄2154) απόφαση Διοικητή ΑΑΔΕ από τον υπόχρεο σε δήλωση ή από εξουσιοδοτημένο από αυτόν πρόσωπο (π.χ. δικηγόρο ή άλλο εξουσιοδοτημένο πρόσωπο).</w:t>
      </w:r>
    </w:p>
    <w:p>
      <w:pPr>
        <w:spacing w:before="240" w:after="240"/>
        <w:rPr>
          <w:lang w:val="el" w:eastAsia="el"/>
        </w:rPr>
      </w:pPr>
      <w:r>
        <w:rPr>
          <w:u w:val="single"/>
          <w:lang w:val="el" w:eastAsia="el"/>
        </w:rPr>
        <w:t xml:space="preserve">3. </w:t>
      </w:r>
      <w:r>
        <w:rPr>
          <w:b/>
          <w:bCs/>
          <w:u w:val="single"/>
          <w:lang w:val="el" w:eastAsia="el"/>
        </w:rPr>
        <w:t>Ως εκ τούτου δηλώσεις φόρου κληρονομιάς που περιλαμβάνουν ακίνητα περιουσιακά στοιχεία για τα οποία δεν συντάσσεται συμβολαιογραφική πράξη αποδοχής κληρονομιάς, υποβάλλονται είτε από τον υπόχρεο είτε από εξουσιοδοτημένο πρόσωπο σε έντυπη μορφή με τη διαδικασία που ορίζεται στην προηγούμενη παράγραφο.</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Ι.ΑΠΟΔΕΚΤΕΣ ΓΙΑ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(περίπτωση 7)</w:t>
      </w:r>
    </w:p>
    <w:p>
      <w:pPr>
        <w:spacing w:before="240" w:after="240"/>
        <w:rPr>
          <w:lang w:val="el" w:eastAsia="el"/>
        </w:rPr>
      </w:pPr>
      <w:r>
        <w:rPr>
          <w:u w:val="single"/>
          <w:lang w:val="el" w:eastAsia="el"/>
        </w:rPr>
        <w:t xml:space="preserve">2. </w:t>
      </w:r>
      <w:r>
        <w:rPr>
          <w:b/>
          <w:bCs/>
          <w:u w:val="single"/>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w:t>
      </w:r>
    </w:p>
    <w:p>
      <w:pPr>
        <w:spacing w:before="240" w:after="240"/>
        <w:rPr>
          <w:lang w:val="el" w:eastAsia="el"/>
        </w:rPr>
      </w:pPr>
      <w:r>
        <w:rPr>
          <w:u w:val="single"/>
          <w:lang w:val="el" w:eastAsia="el"/>
        </w:rPr>
        <w:t xml:space="preserve">2. </w:t>
      </w:r>
      <w:r>
        <w:rPr>
          <w:b/>
          <w:bCs/>
          <w:u w:val="single"/>
          <w:lang w:val="el" w:eastAsia="el"/>
        </w:rPr>
        <w:t>Γραφείο Υφυπουργού</w:t>
      </w:r>
    </w:p>
    <w:p>
      <w:pPr>
        <w:spacing w:before="240" w:after="240"/>
        <w:rPr>
          <w:lang w:val="el" w:eastAsia="el"/>
        </w:rPr>
      </w:pPr>
      <w:r>
        <w:rPr>
          <w:u w:val="single"/>
          <w:lang w:val="el" w:eastAsia="el"/>
        </w:rPr>
        <w:t xml:space="preserve">3. </w:t>
      </w:r>
      <w:r>
        <w:rPr>
          <w:b/>
          <w:bCs/>
          <w:u w:val="single"/>
          <w:lang w:val="el" w:eastAsia="el"/>
        </w:rPr>
        <w:t>Γραφείο Γενικού Γραμματέα Φορολογικής Πολιτικής και Δημόσιας Περιουσίας</w:t>
      </w:r>
    </w:p>
    <w:p>
      <w:pPr>
        <w:spacing w:before="240" w:after="240"/>
        <w:rPr>
          <w:lang w:val="el" w:eastAsia="el"/>
        </w:rPr>
      </w:pPr>
      <w:r>
        <w:rPr>
          <w:u w:val="single"/>
          <w:lang w:val="el" w:eastAsia="el"/>
        </w:rPr>
        <w:t xml:space="preserve">4. </w:t>
      </w:r>
      <w:r>
        <w:rPr>
          <w:b/>
          <w:bCs/>
          <w:u w:val="single"/>
          <w:lang w:val="el" w:eastAsia="el"/>
        </w:rPr>
        <w:t>Αποδέκτες Πίνακα Β΄ (περίπτωση 3)</w:t>
      </w:r>
    </w:p>
    <w:p>
      <w:pPr>
        <w:spacing w:before="240" w:after="240"/>
        <w:rPr>
          <w:lang w:val="el" w:eastAsia="el"/>
        </w:rPr>
      </w:pPr>
      <w:r>
        <w:rPr>
          <w:u w:val="single"/>
          <w:lang w:val="el" w:eastAsia="el"/>
        </w:rPr>
        <w:t xml:space="preserve">5. </w:t>
      </w:r>
      <w:r>
        <w:rPr>
          <w:b/>
          <w:bCs/>
          <w:u w:val="single"/>
          <w:lang w:val="el" w:eastAsia="el"/>
        </w:rPr>
        <w:t>Αποδέκτες Πίνακα Γ΄ (περιπτώσεις 1 έως και 6)</w:t>
      </w:r>
    </w:p>
    <w:p>
      <w:pPr>
        <w:spacing w:before="240" w:after="240"/>
        <w:rPr>
          <w:lang w:val="el" w:eastAsia="el"/>
        </w:rPr>
      </w:pPr>
      <w:r>
        <w:rPr>
          <w:u w:val="single"/>
          <w:lang w:val="el" w:eastAsia="el"/>
        </w:rPr>
        <w:t xml:space="preserve">6. </w:t>
      </w:r>
      <w:r>
        <w:rPr>
          <w:b/>
          <w:bCs/>
          <w:u w:val="single"/>
          <w:lang w:val="el" w:eastAsia="el"/>
        </w:rPr>
        <w:t>Αποδέκτες Πίνακα Ζ΄ (περιπτώσεις 1 και 7)</w:t>
      </w:r>
    </w:p>
    <w:p>
      <w:pPr>
        <w:spacing w:before="240" w:after="240"/>
        <w:rPr>
          <w:lang w:val="el" w:eastAsia="el"/>
        </w:rPr>
      </w:pPr>
      <w:r>
        <w:rPr>
          <w:u w:val="single"/>
          <w:lang w:val="el" w:eastAsia="el"/>
        </w:rPr>
        <w:t xml:space="preserve">7. </w:t>
      </w:r>
      <w:r>
        <w:rPr>
          <w:b/>
          <w:bCs/>
          <w:u w:val="single"/>
          <w:lang w:val="el" w:eastAsia="el"/>
        </w:rPr>
        <w:t>Αποδέκτες Πίνακα Η΄(περιπτώσεις 1 έως και 3, 5 έως και 9)</w:t>
      </w:r>
    </w:p>
    <w:p>
      <w:pPr>
        <w:spacing w:before="240" w:after="240"/>
        <w:rPr>
          <w:lang w:val="el" w:eastAsia="el"/>
        </w:rPr>
      </w:pPr>
      <w:r>
        <w:rPr>
          <w:u w:val="single"/>
          <w:lang w:val="el" w:eastAsia="el"/>
        </w:rPr>
        <w:t xml:space="preserve">8. </w:t>
      </w:r>
      <w:r>
        <w:rPr>
          <w:b/>
          <w:bCs/>
          <w:u w:val="single"/>
          <w:lang w:val="el" w:eastAsia="el"/>
        </w:rPr>
        <w:t>Αποδέκτες Πίνακα Ι΄</w:t>
      </w:r>
    </w:p>
    <w:p>
      <w:pPr>
        <w:spacing w:before="240" w:after="240"/>
        <w:rPr>
          <w:lang w:val="el" w:eastAsia="el"/>
        </w:rPr>
      </w:pPr>
      <w:r>
        <w:rPr>
          <w:u w:val="single"/>
          <w:lang w:val="el" w:eastAsia="el"/>
        </w:rPr>
        <w:t xml:space="preserve">9. </w:t>
      </w:r>
      <w:r>
        <w:rPr>
          <w:b/>
          <w:bCs/>
          <w:u w:val="single"/>
          <w:lang w:val="el" w:eastAsia="el"/>
        </w:rPr>
        <w:t>Αποδέκτες Πίνακα ΙΒ΄ (περίπτωση 1)</w:t>
      </w:r>
    </w:p>
    <w:p>
      <w:pPr>
        <w:spacing w:before="240" w:after="240"/>
        <w:rPr>
          <w:lang w:val="el" w:eastAsia="el"/>
        </w:rPr>
      </w:pPr>
      <w:r>
        <w:rPr>
          <w:b/>
          <w:bCs/>
          <w:u w:val="single"/>
          <w:lang w:val="el" w:eastAsia="el"/>
        </w:rPr>
        <w:t xml:space="preserve">III.ΕΣΩΤΕΡΙΚΗ </w:t>
      </w:r>
      <w:r>
        <w:rPr>
          <w:b/>
          <w:bCs/>
          <w:u w:val="single"/>
          <w:lang w:val="el" w:eastAsia="el"/>
        </w:rPr>
        <w:t>ΔΙΑΝΟΜΗ</w:t>
      </w:r>
    </w:p>
    <w:p>
      <w:pPr>
        <w:spacing w:before="240" w:after="240"/>
        <w:rPr>
          <w:lang w:val="el" w:eastAsia="el"/>
        </w:rPr>
      </w:pPr>
      <w:r>
        <w:rPr>
          <w:u w:val="single"/>
          <w:lang w:val="el" w:eastAsia="el"/>
        </w:rPr>
        <w:t xml:space="preserve">1. </w:t>
      </w:r>
      <w:r>
        <w:rPr>
          <w:b/>
          <w:bCs/>
          <w:u w:val="single"/>
          <w:lang w:val="el" w:eastAsia="el"/>
        </w:rPr>
        <w:t>Γραφείο Διοικητή ΑΑΔΕ</w:t>
      </w:r>
    </w:p>
    <w:p>
      <w:pPr>
        <w:spacing w:before="240" w:after="240"/>
        <w:rPr>
          <w:lang w:val="el" w:eastAsia="el"/>
        </w:rPr>
      </w:pPr>
      <w:r>
        <w:rPr>
          <w:u w:val="single"/>
          <w:lang w:val="el" w:eastAsia="el"/>
        </w:rPr>
        <w:t xml:space="preserve">2. </w:t>
      </w:r>
      <w:r>
        <w:rPr>
          <w:b/>
          <w:bCs/>
          <w:u w:val="single"/>
          <w:lang w:val="el" w:eastAsia="el"/>
        </w:rPr>
        <w:t>Γραφεία Γενικών Διευθυντών</w:t>
      </w:r>
    </w:p>
    <w:p>
      <w:pPr>
        <w:spacing w:before="240" w:after="240"/>
        <w:rPr>
          <w:lang w:val="el" w:eastAsia="el"/>
        </w:rPr>
      </w:pPr>
      <w:r>
        <w:rPr>
          <w:u w:val="single"/>
          <w:lang w:val="el" w:eastAsia="el"/>
        </w:rPr>
        <w:t xml:space="preserve">3. </w:t>
      </w:r>
      <w:r>
        <w:rPr>
          <w:b/>
          <w:bCs/>
          <w:u w:val="single"/>
          <w:lang w:val="el" w:eastAsia="el"/>
        </w:rPr>
        <w:t>Διευθύνσεις, Αυτοτελή Τμήματα και Αυτοτελή Γραφεία της ΓΔΦΔ</w:t>
      </w:r>
    </w:p>
    <w:p>
      <w:pPr>
        <w:spacing w:before="240" w:after="240"/>
        <w:rPr>
          <w:lang w:val="el" w:eastAsia="el"/>
        </w:rPr>
      </w:pPr>
      <w:r>
        <w:rPr>
          <w:u w:val="single"/>
          <w:lang w:val="el" w:eastAsia="el"/>
        </w:rPr>
        <w:t xml:space="preserve">4. </w:t>
      </w:r>
      <w:r>
        <w:rPr>
          <w:b/>
          <w:bCs/>
          <w:u w:val="single"/>
          <w:lang w:val="el" w:eastAsia="el"/>
        </w:rPr>
        <w:t>Δ/νση Νομικής Υποστήριξης της ΑΑΔΕ</w:t>
      </w:r>
    </w:p>
    <w:p>
      <w:pPr>
        <w:spacing w:before="240" w:after="240"/>
        <w:rPr>
          <w:lang w:val="el" w:eastAsia="el"/>
        </w:rPr>
      </w:pPr>
      <w:r>
        <w:rPr>
          <w:u w:val="single"/>
          <w:lang w:val="el" w:eastAsia="el"/>
        </w:rPr>
        <w:t xml:space="preserve">5. </w:t>
      </w:r>
      <w:r>
        <w:rPr>
          <w:b/>
          <w:bCs/>
          <w:u w:val="single"/>
          <w:lang w:val="el" w:eastAsia="el"/>
        </w:rPr>
        <w:t>Γενική Διεύθυνση Ηλεκτρονικής Διακυβέρνησης</w:t>
      </w:r>
    </w:p>
    <w:p>
      <w:pPr>
        <w:spacing w:before="240" w:after="240"/>
        <w:rPr>
          <w:lang w:val="el" w:eastAsia="el"/>
        </w:rPr>
      </w:pPr>
      <w:r>
        <w:rPr>
          <w:u w:val="single"/>
          <w:lang w:val="el" w:eastAsia="el"/>
        </w:rPr>
        <w:t xml:space="preserve">6. </w:t>
      </w:r>
      <w:r>
        <w:rPr>
          <w:b/>
          <w:bCs/>
          <w:u w:val="single"/>
          <w:lang w:val="el" w:eastAsia="el"/>
        </w:rPr>
        <w:t>Δ/νση Εφαρμογής Φορολογίας Κεφαλαίου και Περιουσιολογίου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