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lang w:val="el" w:eastAsia="el"/>
        </w:rPr>
        <w:t xml:space="preserve">A. </w:t>
      </w: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ΕΙΣΑΓΩΓΩΝ ΕΞΑΓΩΓΩΝ</w:t>
      </w:r>
    </w:p>
    <w:p>
      <w:pPr>
        <w:spacing w:before="240" w:after="240"/>
        <w:rPr>
          <w:lang w:val="el" w:eastAsia="el"/>
        </w:rPr>
      </w:pPr>
      <w:r>
        <w:rPr>
          <w:lang w:val="el" w:eastAsia="el"/>
        </w:rPr>
        <w:t xml:space="preserve">B. </w:t>
      </w: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 101 84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210.6987461,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finexcis@aade.gr</w:t>
        </w:r>
      </w:hyperlink>
    </w:p>
    <w:p>
      <w:pPr>
        <w:spacing w:before="240" w:after="240"/>
        <w:rPr>
          <w:lang w:val="el" w:eastAsia="el"/>
        </w:rPr>
      </w:pPr>
      <w:r>
        <w:rPr>
          <w:b/>
          <w:bCs/>
          <w:lang w:val="el" w:eastAsia="el"/>
        </w:rPr>
        <w:t>ΠΡΟΣ : Ως Πίνακας Διανομής</w:t>
      </w:r>
    </w:p>
    <w:p>
      <w:pPr>
        <w:spacing w:before="240" w:after="240"/>
        <w:rPr>
          <w:lang w:val="el" w:eastAsia="el"/>
        </w:rPr>
      </w:pPr>
      <w:r>
        <w:rPr>
          <w:b/>
          <w:bCs/>
          <w:lang w:val="el" w:eastAsia="el"/>
        </w:rPr>
        <w:t>ΘΕΜΑ: Παροχή διευκρινίσεων σχετικά με το συντελεστή ΦΠΑ που εφαρμόζεται από 1.1.2023 στα εμβόλια Covid-19, στα rapid διαγνωστικά τεστ, PCR διαγνωστικά τεστ και λοιπά διαγνωστικά test και τις υπηρεσίες που συνδέονται με τα ανωτέρω είδη και παρέχονται από δημόσια ιδρύματα ή ιδιωτικούς ιατρικούς φορείς, την προμήθεια και διεξαγωγή rapid τεστ από φαρμακεία.</w:t>
      </w:r>
    </w:p>
    <w:p>
      <w:pPr>
        <w:spacing w:before="240" w:after="240"/>
        <w:rPr>
          <w:lang w:val="el" w:eastAsia="el"/>
        </w:rPr>
      </w:pPr>
      <w:r>
        <w:rPr>
          <w:b/>
          <w:bCs/>
          <w:lang w:val="el" w:eastAsia="el"/>
        </w:rPr>
        <w:t>Με αφορμή ερωτήματα που τέθηκαν υπόψη της Υπηρεσίας μας, αναφορικά με το συντελεστή ΦΠΑ που εφαρμόζεται από 1.1.2023 στα ανωτέρω είδη που σχετίζονται με τον Covid-19 και τις σχετικές υπηρεσίες, διευκρινίζονται τα εξής:</w:t>
      </w:r>
    </w:p>
    <w:p>
      <w:pPr>
        <w:spacing w:before="240" w:after="240"/>
        <w:rPr>
          <w:lang w:val="el" w:eastAsia="el"/>
        </w:rPr>
      </w:pPr>
      <w:r>
        <w:rPr>
          <w:lang w:val="el" w:eastAsia="el"/>
        </w:rPr>
        <w:t xml:space="preserve">1. </w:t>
      </w:r>
      <w:r>
        <w:rPr>
          <w:b/>
          <w:bCs/>
          <w:lang w:val="el" w:eastAsia="el"/>
        </w:rPr>
        <w:t>Με την υπ’ αριθ. Ε.2002/2020 εγκύκλιο Διοικητή ΑΑΔΕ κοινοποιήθηκαν οι διατάξεις του άρθρου 73 του ν.4764/2020, με τις οποίες προστέθηκε νέα παράγραφος 1Α στο άρθρο 21 του Κώδικα ΦΠΑ (ν. 2859/2000) και προβλέφθηκε η εφαρμογή μηδενικού συντελεστή ΦΠΑ στην εισαγωγή και παράδοση αγαθών που σχετίζονται άμεσα με την αντιμετώπιση της νόσου Covid-19 (εμβόλια και invitro διαγνωστικά προϊόντα). Ο ίδιος συντελεστής εφαρμόστηκε και στις υπηρεσίες που συνδέονται στενά με τα αγαθά του προηγούμενου εδαφίου.</w:t>
      </w:r>
    </w:p>
    <w:p>
      <w:pPr>
        <w:spacing w:before="240" w:after="240"/>
        <w:rPr>
          <w:lang w:val="el" w:eastAsia="el"/>
        </w:rPr>
      </w:pPr>
      <w:r>
        <w:rPr>
          <w:lang w:val="el" w:eastAsia="el"/>
        </w:rPr>
        <w:t xml:space="preserve">2. </w:t>
      </w:r>
      <w:r>
        <w:rPr>
          <w:b/>
          <w:bCs/>
          <w:lang w:val="el" w:eastAsia="el"/>
        </w:rPr>
        <w:t>Με τις εν λόγω διατάξεις η χώρα μας έκανε χρήση της δυνατότητας που δόθηκε στα Κράτη – Μέλη για εφαρμογή μηδενικού συντελεστή σε διάφορα είδη που σχετίζονται με την νόσο Covid-19 καθώς και στις συναφείς υπηρεσίες, σύμφωνα με το νέο άρθρο 129α της Οδηγίας 2006/112/ΕΚ, όπως αυτό προστέθηκε με το άρθρο 1 της Οδηγίας (ΕΕ) 2020/2020.</w:t>
      </w:r>
    </w:p>
    <w:p>
      <w:pPr>
        <w:spacing w:before="240" w:after="240"/>
        <w:rPr>
          <w:lang w:val="el" w:eastAsia="el"/>
        </w:rPr>
      </w:pPr>
      <w:r>
        <w:rPr>
          <w:lang w:val="el" w:eastAsia="el"/>
        </w:rPr>
        <w:t xml:space="preserve">3. </w:t>
      </w:r>
      <w:r>
        <w:rPr>
          <w:b/>
          <w:bCs/>
          <w:lang w:val="el" w:eastAsia="el"/>
        </w:rPr>
        <w:t>Οι ως άνω διατάξεις της παραγράφου 1Α του άρθρου 21 του Κώδικα ΦΠΑ, οι οποίες τέθηκαν σε ισχύ από 23/12/2020, εφαρμόστηκαν μέχρι και τις 31/12/2022, όπως όριζε ρητά η σχετική Ενωσιακή Νομοθεσία (Οδηγία (ΕΕ) 2020/2020). Συνεπώς μετά τη λήξη των ανωτέρω ρυθμίσεων, διευκρινίζεται ότι τα εν λόγω αγαθά και υπηρεσίες υπάγονται στον κατά περίπτωση ισχύοντα συντελεστή ΦΠΑ όπως αυτός ορίζεται από τις διατάξεις του άρθρου 21 του Κώδικα ΦΠΑ σε συνδυασμό με το Παράρτημα ΙΙΙ αυτού.</w:t>
      </w:r>
    </w:p>
    <w:p>
      <w:pPr>
        <w:spacing w:before="240" w:after="240"/>
        <w:rPr>
          <w:lang w:val="el" w:eastAsia="el"/>
        </w:rPr>
      </w:pPr>
      <w:r>
        <w:rPr>
          <w:lang w:val="el" w:eastAsia="el"/>
        </w:rPr>
        <w:t xml:space="preserve">4. </w:t>
      </w:r>
      <w:r>
        <w:rPr>
          <w:b/>
          <w:bCs/>
          <w:lang w:val="el" w:eastAsia="el"/>
        </w:rPr>
        <w:t>Ειδικότερα και όσον αφορά τα:</w:t>
      </w:r>
    </w:p>
    <w:p>
      <w:pPr>
        <w:pStyle w:val="StructureList1"/>
        <w:spacing w:before="120" w:after="0"/>
        <w:rPr>
          <w:lang w:val="el" w:eastAsia="el"/>
        </w:rPr>
      </w:pPr>
      <w:r>
        <w:rPr>
          <w:lang w:val="el" w:eastAsia="el"/>
        </w:rPr>
        <w:t>-</w:t>
      </w:r>
      <w:r>
        <w:rPr>
          <w:lang w:val="en" w:eastAsia="en"/>
        </w:rPr>
        <w:tab/>
      </w:r>
      <w:r>
        <w:rPr>
          <w:b/>
          <w:bCs/>
          <w:lang w:val="el" w:eastAsia="el"/>
        </w:rPr>
        <w:t>Εμβόλια κατά των σχετιζόμενων με το SARS κορονοϊών (είδος SARS-CoV) , της Δ.Κ.3002 για τον άνθρωπο,</w:t>
      </w:r>
    </w:p>
    <w:p>
      <w:pPr>
        <w:pStyle w:val="StructureList1"/>
        <w:spacing w:before="120" w:after="0"/>
        <w:rPr>
          <w:lang w:val="el" w:eastAsia="el"/>
        </w:rPr>
      </w:pPr>
      <w:r>
        <w:rPr>
          <w:lang w:val="el" w:eastAsia="el"/>
        </w:rPr>
        <w:t>-</w:t>
      </w:r>
      <w:r>
        <w:rPr>
          <w:lang w:val="en" w:eastAsia="en"/>
        </w:rPr>
        <w:tab/>
      </w:r>
      <w:r>
        <w:rPr>
          <w:b/>
          <w:bCs/>
          <w:lang w:val="el" w:eastAsia="el"/>
        </w:rPr>
        <w:t>Διαγνωστικά τεστ rapid, διαγνωστικά τεστ PCR, διαγνωστικά τεστ αντισωμάτων και λοιπά διαγνωστικά για Covid-19 της Δ.Κ. 3822 για τον άνθρωπο, που αποτελούν σημαντικά αγαθά για την αντιμετώπιση της πανδημίας, υπάγονται στον κατώτατο εφαρμοζόμενο συντελεστή ΦΠΑ (υπερμειωμένος συντελεστής 6%), διευκολύνοντας με τον τρόπο αυτό την πρόσβαση των φορέων υγείας και του γενικότερου πληθυσμού της χώρας στα εν λόγω αγαθά, ώστε να καταπολεμηθεί ο ιός και να αποφευχθεί η διάδοσή του, χωρίς να τίθεται χρονικός περιορισμός για την εφαρμογή του.</w:t>
      </w:r>
    </w:p>
    <w:p>
      <w:pPr>
        <w:spacing w:before="240" w:after="240"/>
        <w:rPr>
          <w:lang w:val="el" w:eastAsia="el"/>
        </w:rPr>
      </w:pPr>
      <w:r>
        <w:rPr>
          <w:lang w:val="el" w:eastAsia="el"/>
        </w:rPr>
        <w:t xml:space="preserve">5. </w:t>
      </w:r>
      <w:r>
        <w:rPr>
          <w:b/>
          <w:bCs/>
          <w:lang w:val="el" w:eastAsia="el"/>
        </w:rPr>
        <w:t>Σε περίπτωση που κατά την παράδοση διαγνωστικών rapid test στους καταναλωτές από φαρμακεία, τα οποία αναλαμβάνουν, χάριν διευκόλυνσης των καταναλωτών, και την διεξαγωγή τους, το τυχόν επιπλέον τίμημα που αυτά λαμβάνουν προσαυξάνει την φορολογητέα αξία της κύριας πράξης, ήτοι της παράδοσης του διαγνωστικού τεστ rapid, υπαγόμενο ως εκ τούτου στον ίδιο συντελεστή ΦΠΑ, 6%.</w:t>
      </w:r>
    </w:p>
    <w:p>
      <w:pPr>
        <w:spacing w:before="240" w:after="240"/>
        <w:rPr>
          <w:lang w:val="el" w:eastAsia="el"/>
        </w:rPr>
      </w:pPr>
      <w:r>
        <w:rPr>
          <w:b/>
          <w:bCs/>
          <w:lang w:val="el" w:eastAsia="el"/>
        </w:rPr>
        <w:t>Σε κάθε περίπτωση, η διεξαγωγή διαγνωστικών ελέγχων νόσησης από τον κορονοϊό Covid-19, από ιδιωτικά διαγνωστικά εργαστήρια του π.δ. 84/2001 ή άλλους φορείς πρωτοβάθμιας φροντίδας υγείας, ανεξάρτητα από την μέθοδο που χρησιμοποιείται (rapid test ή PCR) απαλλάσσεται από τον ΦΠΑ σύμφωνα με τις διατάξεις του άρθρου 22, παρ. 1, περ. ε’ του Κώδικα ΦΠΑ χωρίς να παρέχεται δικαίωμα έκπτωσης του ΦΠΑ με τον οποίο επιβαρύνθηκαν οι σχετικές εισροές.</w:t>
      </w:r>
    </w:p>
    <w:p>
      <w:pPr>
        <w:spacing w:before="240" w:after="240"/>
        <w:rPr>
          <w:lang w:val="el" w:eastAsia="el"/>
        </w:rPr>
      </w:pPr>
      <w:r>
        <w:rPr>
          <w:lang w:val="el" w:eastAsia="el"/>
        </w:rPr>
        <w:t xml:space="preserve">6. </w:t>
      </w:r>
      <w:r>
        <w:rPr>
          <w:b/>
          <w:bCs/>
          <w:lang w:val="el" w:eastAsia="el"/>
        </w:rPr>
        <w:t>Κατά τα λοιπά ισχύουν τα αναφερόμενα στην εγκύκλιο ΠΟΛ. 1100/2010.</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Αποδέκτες Πίνακα Γ΄,</w:t>
      </w:r>
    </w:p>
    <w:p>
      <w:pPr>
        <w:spacing w:before="240" w:after="240"/>
        <w:rPr>
          <w:lang w:val="el" w:eastAsia="el"/>
        </w:rPr>
      </w:pPr>
      <w:r>
        <w:rPr>
          <w:b/>
          <w:bCs/>
          <w:lang w:val="el" w:eastAsia="el"/>
        </w:rPr>
        <w:t>Αποδέκτες Πίνακα Δ΄</w:t>
      </w:r>
    </w:p>
    <w:p>
      <w:pPr>
        <w:spacing w:before="240" w:after="240"/>
        <w:rPr>
          <w:lang w:val="el" w:eastAsia="el"/>
        </w:rPr>
      </w:pP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93"/>
        <w:gridCol w:w="44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(Φορολογική Επιθεώρηση)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w:t>
            </w:r>
          </w:p>
        </w:tc>
      </w:tr>
    </w:tbl>
    <w:p>
      <w:pPr>
        <w:spacing w:before="240" w:after="240"/>
        <w:rPr>
          <w:lang w:val="el" w:eastAsia="el"/>
        </w:rPr>
      </w:pPr>
      <w:r>
        <w:rPr>
          <w:b/>
          <w:bCs/>
          <w:lang w:val="el" w:eastAsia="el"/>
        </w:rPr>
        <w:t>Γραφείο Υπουργού Οικονομικών</w:t>
      </w:r>
    </w:p>
    <w:p>
      <w:pPr>
        <w:spacing w:before="240" w:after="240"/>
        <w:rPr>
          <w:lang w:val="el" w:eastAsia="el"/>
        </w:rPr>
      </w:pPr>
      <w:r>
        <w:rPr>
          <w:b/>
          <w:bCs/>
          <w:lang w:val="el" w:eastAsia="el"/>
        </w:rPr>
        <w:t>Γραφείο Υφυπουργού Οικονομικών.</w:t>
      </w:r>
    </w:p>
    <w:p>
      <w:pPr>
        <w:spacing w:before="240" w:after="240"/>
        <w:rPr>
          <w:lang w:val="el" w:eastAsia="el"/>
        </w:rPr>
      </w:pPr>
      <w:r>
        <w:rPr>
          <w:b/>
          <w:bCs/>
          <w:lang w:val="el" w:eastAsia="el"/>
        </w:rPr>
        <w:t>Διεύθυνση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Γραφείο Διοικητού ΑΑΔΕ.</w:t>
      </w:r>
    </w:p>
    <w:p>
      <w:pPr>
        <w:spacing w:before="240" w:after="240"/>
        <w:rPr>
          <w:lang w:val="el" w:eastAsia="el"/>
        </w:rPr>
      </w:pPr>
      <w:r>
        <w:rPr>
          <w:b/>
          <w:bCs/>
          <w:lang w:val="el" w:eastAsia="el"/>
        </w:rPr>
        <w:t>Γραφείο κ. κ. Γενικών Διευθυντών.</w:t>
      </w:r>
    </w:p>
    <w:p>
      <w:pPr>
        <w:spacing w:before="240" w:after="240"/>
        <w:rPr>
          <w:lang w:val="el" w:eastAsia="el"/>
        </w:rPr>
      </w:pPr>
      <w:r>
        <w:rPr>
          <w:b/>
          <w:bCs/>
          <w:lang w:val="el" w:eastAsia="el"/>
        </w:rPr>
        <w:t>ΔΕΕΦ – ΤΜΗΜΑ Α΄ ΦΠΑ.</w:t>
      </w:r>
    </w:p>
    <w:p>
      <w:pPr>
        <w:spacing w:before="240" w:after="240"/>
        <w:rPr>
          <w:lang w:val="el" w:eastAsia="el"/>
        </w:rPr>
      </w:pPr>
      <w:r>
        <w:rPr>
          <w:b/>
          <w:bCs/>
          <w:lang w:val="el" w:eastAsia="el"/>
        </w:rPr>
        <w:t>ΔΔΘΕΚΑ- ΤΜΗΜΑ Α’</w:t>
      </w:r>
    </w:p>
    <w:p>
      <w:pPr>
        <w:spacing w:before="240" w:after="240"/>
        <w:rPr>
          <w:lang w:val="el" w:eastAsia="el"/>
        </w:rPr>
      </w:pPr>
      <w:r>
        <w:rPr>
          <w:b/>
          <w:bCs/>
          <w:lang w:val="el" w:eastAsia="el"/>
        </w:rPr>
        <w:t>Δ/νση Ε.Φ.Κ και Φ.Π.Α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