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9ΠΣΠ46ΜΠ3Ζ-Θ6Λ</w:t>
      </w:r>
    </w:p>
    <w:p>
      <w:pPr>
        <w:pStyle w:val="Title"/>
        <w:spacing w:before="120" w:after="360"/>
        <w:rPr>
          <w:lang w:val="el" w:eastAsia="el"/>
        </w:rPr>
      </w:pPr>
      <w:r>
        <w:rPr>
          <w:b/>
          <w:bCs/>
          <w:lang w:val="el" w:eastAsia="el"/>
        </w:rPr>
        <w:t>Αθήνα, 30/05/2023</w:t>
      </w:r>
    </w:p>
    <w:p>
      <w:pPr>
        <w:pStyle w:val="Title"/>
        <w:spacing w:before="120" w:after="360"/>
        <w:rPr>
          <w:lang w:val="el" w:eastAsia="el"/>
        </w:rPr>
      </w:pPr>
      <w:r>
        <w:rPr>
          <w:b/>
          <w:bCs/>
          <w:lang w:val="el" w:eastAsia="el"/>
        </w:rPr>
        <w:t>Αριθ. Πρωτ.: Ε.2039</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 Ταχ. Δ/νση Ταχ. Κώδικας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w:t>
      </w:r>
    </w:p>
    <w:p>
      <w:pPr>
        <w:spacing w:before="240" w:after="240"/>
        <w:rPr>
          <w:lang w:val="el" w:eastAsia="el"/>
        </w:rPr>
      </w:pPr>
      <w:r>
        <w:rPr>
          <w:b/>
          <w:bCs/>
          <w:lang w:val="el" w:eastAsia="el"/>
        </w:rPr>
        <w:t>2132122416</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«Παροχή πρόσθετων διευκρινίσεων αναφορικά με την απαλλαγή από το ΦΠΑ στην παροχή υπηρεσιών και στην παράδοση αγαθών για εκδηλώσεις που οργανώνονται από δικαιούχα πρόσωπα για την οικονομική τους ενίσχυση βάσει της περ. ιη', της παρ. 1 του άρθρου 22 του Κώδικα Φόρου Προστιθέμενης Αξίας (ν. 2859/2000, Α΄248).</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παροχή διευκρινίσεων σχετικά με την εφαρμογή των διατάξεων της περ. ιη', της παρ. 1 του άρθρου 22 του Κώδικα Φόρου Προστιθέμενης Αξίας (ν.2859/2000,- Α' 248), όπως αντικαταστάθηκαν με τις διατάξεις του άρθρου 95 του ν. 5036/2023 (Α' 77) και ισχύουν από την 28.03.2023</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Παρέχονται διευκρινίσεις αναφορικά με την αντικατάσταση της περ. ιη' της παρ. 1 του άρθρου 22 του Κώδικα Φόρου Προστιθέμενης Αξίας που αφορά σε απαλλαγή από το ΦΠΑ στην παροχή υπηρεσιών και στην παράδοση αγαθών για εκδηλώσεις που οργανώνονται από δικαιούχα πρόσωπα για την οικονομική τους ενίσχυση.</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Αφορά τα πρόσωπα που αναφέρονται στις περ. δ', θ', ιβ', ιδ', ιε' και ιστ' της περ. ιη', της παρ.</w:t>
      </w:r>
    </w:p>
    <w:p>
      <w:pPr>
        <w:spacing w:before="240" w:after="240"/>
        <w:rPr>
          <w:lang w:val="el" w:eastAsia="el"/>
        </w:rPr>
      </w:pPr>
      <w:r>
        <w:rPr>
          <w:b/>
          <w:bCs/>
          <w:u w:val="single"/>
          <w:lang w:val="el" w:eastAsia="el"/>
        </w:rPr>
        <w:t>1 του άρθρου 22 του Κώδικα Φόρου Προστιθέμενης Αξίας με την ευκαιρία εκδηλώσεων που οργανώνονται από αυτά για την οικονομική τους ενίσχυση, και οι οποίες οργανώνονται προς αποκλειστικό όφελός τους.</w:t>
      </w:r>
    </w:p>
    <w:p>
      <w:pPr>
        <w:spacing w:before="240" w:after="240"/>
        <w:rPr>
          <w:lang w:val="el" w:eastAsia="el"/>
        </w:rPr>
      </w:pPr>
      <w:r>
        <w:rPr>
          <w:b/>
          <w:bCs/>
          <w:u w:val="single"/>
          <w:lang w:val="el" w:eastAsia="el"/>
        </w:rPr>
        <w:t>Σε συνέχεια της εγκυκλίου Ε. 2091/2022 του Διοικητή ΑΑΔΕ και της υπ’ αριθ. Ο. 3029/2023 οδηγίας με την οποία κοινοποιήθηκαν οι διατάξεις του άρθρου 95 του ν. 5036/2023 (Α΄77), με ισχύ από 28.3.2023 και εφεξής, αναφορικά με την απαλλαγή από το ΦΠΑ στην παροχή υπηρεσιών και στην παράδοση αγαθών για εκδηλώσεις που οργανώνονται από δικαιούχα πρόσωπα για την οικονομική τους ενίσχυση βάσει της περ. ιη', της παρ. 1 του άρθρου 22 του Κώδικα Φόρου Προστιθέμενης Αξίας (ν. 2859/2000, Α΄248), παρέχονται οι ακόλουθες πρόσθετες διευκρινίσεις, με σκοπό την ορθή και ομοιόμορφη εφαρμογή αυτών:</w:t>
      </w:r>
    </w:p>
    <w:p>
      <w:pPr>
        <w:spacing w:before="240" w:after="240"/>
        <w:rPr>
          <w:lang w:val="el" w:eastAsia="el"/>
        </w:rPr>
      </w:pPr>
      <w:r>
        <w:rPr>
          <w:u w:val="single"/>
          <w:lang w:val="el" w:eastAsia="el"/>
        </w:rPr>
        <w:t xml:space="preserve">1. </w:t>
      </w:r>
      <w:r>
        <w:rPr>
          <w:b/>
          <w:bCs/>
          <w:u w:val="single"/>
          <w:lang w:val="el" w:eastAsia="el"/>
        </w:rPr>
        <w:t>Με τις διατάξεις του άρθρου 95 του ν. 5036/2023 τροποποιήθηκε η περίπτωση ιη΄ της παρ. 1 του άρθρου 22 του Κώδικα ΦΠΑ και, πλέον, απαλλάσσεται από το ΦΠΑ 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ιδ’, ιε’, και ιστ’, η απαλλαγή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w:t>
      </w:r>
    </w:p>
    <w:p>
      <w:pPr>
        <w:spacing w:before="240" w:after="240"/>
        <w:rPr>
          <w:lang w:val="el" w:eastAsia="el"/>
        </w:rPr>
      </w:pPr>
      <w:r>
        <w:rPr>
          <w:u w:val="single"/>
          <w:lang w:val="el" w:eastAsia="el"/>
        </w:rPr>
        <w:t xml:space="preserve">2. </w:t>
      </w:r>
      <w:r>
        <w:rPr>
          <w:b/>
          <w:bCs/>
          <w:u w:val="single"/>
          <w:lang w:val="el" w:eastAsia="el"/>
        </w:rPr>
        <w:t>Με την ανωτέρω τροποποίηση έγινε απαλοιφή της προϋπόθεσης της μη υπέρβασης του ορίου των είκοσι χιλιάδων (20.000) ευρώ στις κατ’ έτος σχετικές συναλλαγές για την χορήγηση της απαλλαγής, ενώ παρέμεινε, ως απαραίτητη προϋπόθεση, ότι οι εκδηλώσεις που απαλλάσσονται δεν θα πρέπει να υπερβαίνουν τις τέσσερις (4) κατ’ έτος.</w:t>
      </w:r>
    </w:p>
    <w:p>
      <w:pPr>
        <w:spacing w:before="240" w:after="240"/>
        <w:rPr>
          <w:lang w:val="el" w:eastAsia="el"/>
        </w:rPr>
      </w:pPr>
      <w:r>
        <w:rPr>
          <w:u w:val="single"/>
          <w:lang w:val="el" w:eastAsia="el"/>
        </w:rPr>
        <w:t xml:space="preserve">3. </w:t>
      </w:r>
      <w:r>
        <w:rPr>
          <w:b/>
          <w:bCs/>
          <w:u w:val="single"/>
          <w:lang w:val="el" w:eastAsia="el"/>
        </w:rPr>
        <w:t>Επιπρόσθετα προβλέφθηκε ότι, ειδικά για τα πρόσωπα των περ. θ’, ιδ’, ιε’, και ιστ’, (εξαιρουμένων δηλαδή των προσώπων των περ. δ’ και ιβ’), η εν λόγω απαλλαγή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 Κατά συνέπεια, πρόσωπα, υπό το ίδιο ΑΦΜ, που έχουν δηλωθείσες εγκαταστάσεις σε περιοχές, οι οποίες εμπίπτουν στη χωρική αρμοδιότητα Δ.Ο.Υ. διαφορετικής από τη Δ.Ο.Υ. της έδρας τους, να μπορούν να αιτούνται απαλλαγής για εκδηλώσεις, έως 4 κατ’ έτος, και για καθεμιά από τις δηλωθείσες εγκαταστάσεις. Η υποβολή της σχετικής υπεύθυνης δήλωσης θα γίνεται στην Δ.Ο.Υ. της έδρας του προσώπου και όχι στην Δ.Ο.Υ. στη χωρική αρμοδιότητα της οποίας ανήκει η εγκατάσταση. Σημειώνεται ότι για την καθεμία δηλωθείσα εγκατάσταση ισχύει η ρητή προθεσμία των πέντε (5) εργάσιμων ημερών πριν την πραγματοποίηση της εκδήλωσης για την υποβολή της υπεύθυνης δήλωσης και την εφαρμογή της απαλλαγής, καθώς και ο περιορισμός των τεσσάρων (4) εκδηλώσεων κατ’ έτος.</w:t>
      </w:r>
    </w:p>
    <w:p>
      <w:pPr>
        <w:spacing w:before="240" w:after="240"/>
        <w:rPr>
          <w:lang w:val="el" w:eastAsia="el"/>
        </w:rPr>
      </w:pPr>
      <w:r>
        <w:rPr>
          <w:u w:val="single"/>
          <w:lang w:val="el" w:eastAsia="el"/>
        </w:rPr>
        <w:t xml:space="preserve">4. </w:t>
      </w:r>
      <w:r>
        <w:rPr>
          <w:b/>
          <w:bCs/>
          <w:u w:val="single"/>
          <w:lang w:val="el" w:eastAsia="el"/>
        </w:rPr>
        <w:t>Ως εκ τούτου, το δικαιούχο πρόσωπο θα αναγράφει στην υπεύθυνη δήλωση τη συγκεκριμένη περίπτωση της παρ. 1 του άρθρου 22 του Κώδικα ΦΠΑ στην οποία εμπίπτει καθώς και τον αριθμό και τις ημερομηνίες πραγματοποίησης των ευκαιριακών εκδηλώσεων για τις οποίες έχουν ήδη υποβληθεί υπεύθυνες δηλώσεις για απαλλαγή από το ΦΠΑ βάσει της περ. ιη' της παρ. 1 του άρθρου 22 του Κώδικα ΦΠΑ στο συγκεκριμένο φορολογικό έτος.</w:t>
      </w:r>
    </w:p>
    <w:p>
      <w:pPr>
        <w:spacing w:before="240" w:after="240"/>
        <w:rPr>
          <w:lang w:val="el" w:eastAsia="el"/>
        </w:rPr>
      </w:pPr>
      <w:r>
        <w:rPr>
          <w:b/>
          <w:bCs/>
          <w:u w:val="single"/>
          <w:lang w:val="el" w:eastAsia="el"/>
        </w:rPr>
        <w:t>Επίσης θα αναγράφει την ημερομηνία και τη διάρκεια πραγματοποίησης της εκδήλωσης για την οποία γνωστοποιείται η απαλλαγή, το είδος και την ποσότητα της παράδοσης των αγαθών, το είδος της παροχής των υπηρεσιών. Επιπροσθέτως, θα πρέπει να δηλώνεται ότι η εκδήλωση οργανώνεται για την οικονομική του ενίσχυση και προς αποκλειστική ωφέλεια του δικαιούχου προσώπου. Ειδικά για τις περιπτώσεις προσώπων των περ. θ’, ιδ’, ιε’, και ιστ’, παρ. 1 του άρθρου 22 του Κώδικα ΦΠΑ, με περισσότερες δηλωθείσες εγκαταστάσεις, στην υπεύθυνη δήλωση θα πρέπει να δηλώνεται και η εγκατάσταση την οποία αφορά η απαλλαγή ΦΠΑ.</w:t>
      </w:r>
    </w:p>
    <w:p>
      <w:pPr>
        <w:spacing w:before="240" w:after="240"/>
        <w:rPr>
          <w:lang w:val="el" w:eastAsia="el"/>
        </w:rPr>
      </w:pPr>
      <w:r>
        <w:rPr>
          <w:u w:val="single"/>
          <w:lang w:val="el" w:eastAsia="el"/>
        </w:rPr>
        <w:t xml:space="preserve">5. </w:t>
      </w:r>
      <w:r>
        <w:rPr>
          <w:b/>
          <w:bCs/>
          <w:u w:val="single"/>
          <w:lang w:val="el" w:eastAsia="el"/>
        </w:rPr>
        <w:t>Σημειώνεται ότι ως προς τον τρόπο υποβολής της υπεύθυνης δήλωσης στη Φορολογική Διοίκηση, τις ενέργειες που απαιτούνται από το πρόσωπο σε περίπτωση μη πλήρωσης των προϋποθέσεων για την απαλλαγή της εκδήλωσης καθώς και την τήρηση των προσηκόντων στοιχείων που αφορούν εκάστη εκδήλωση ισχύουν τα αναφερόμενα στην Ε. 2091/2022 εγκύκλιο του Διοικητή της ΑΑΔΕ.</w:t>
      </w:r>
    </w:p>
    <w:p>
      <w:pPr>
        <w:spacing w:before="240" w:after="240"/>
        <w:rPr>
          <w:lang w:val="el" w:eastAsia="el"/>
        </w:rPr>
      </w:pPr>
      <w:r>
        <w:rPr>
          <w:b/>
          <w:bCs/>
          <w:u w:val="single"/>
          <w:lang w:val="el" w:eastAsia="el"/>
        </w:rPr>
        <w:t>Ο ΔΙΟΙΚΗΤΗΣ ΤΗΣΑΝΕΞΑΡΤΗΤΗΣ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 2 και 3</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u w:val="single"/>
          <w:lang w:val="el" w:eastAsia="el"/>
        </w:rPr>
        <w:t xml:space="preserve">2. </w:t>
      </w:r>
      <w:r>
        <w:rPr>
          <w:b/>
          <w:bCs/>
          <w:u w:val="single"/>
          <w:lang w:val="el" w:eastAsia="el"/>
        </w:rPr>
        <w:t>Αποδέκτες Πίνακα Β΄</w:t>
      </w:r>
    </w:p>
    <w:p>
      <w:pPr>
        <w:spacing w:before="240" w:after="240"/>
        <w:rPr>
          <w:lang w:val="el" w:eastAsia="el"/>
        </w:rPr>
      </w:pPr>
      <w:r>
        <w:rPr>
          <w:u w:val="single"/>
          <w:lang w:val="el" w:eastAsia="el"/>
        </w:rPr>
        <w:t xml:space="preserve">3. </w:t>
      </w:r>
      <w:r>
        <w:rPr>
          <w:b/>
          <w:bCs/>
          <w:u w:val="single"/>
          <w:lang w:val="el" w:eastAsia="el"/>
        </w:rPr>
        <w:t>Αποδέκτες Πίνακα Γ΄ μόνο οι αριθ. 2 και 3΄</w:t>
      </w:r>
    </w:p>
    <w:p>
      <w:pPr>
        <w:spacing w:before="240" w:after="240"/>
        <w:rPr>
          <w:lang w:val="el" w:eastAsia="el"/>
        </w:rPr>
      </w:pPr>
      <w:r>
        <w:rPr>
          <w:u w:val="single"/>
          <w:lang w:val="el" w:eastAsia="el"/>
        </w:rPr>
        <w:t xml:space="preserve">4. </w:t>
      </w:r>
      <w:r>
        <w:rPr>
          <w:b/>
          <w:bCs/>
          <w:u w:val="single"/>
          <w:lang w:val="el" w:eastAsia="el"/>
        </w:rPr>
        <w:t>Αποδέκτες Πίνακα Ζ΄</w:t>
      </w:r>
    </w:p>
    <w:p>
      <w:pPr>
        <w:spacing w:before="240" w:after="240"/>
        <w:rPr>
          <w:lang w:val="el" w:eastAsia="el"/>
        </w:rPr>
      </w:pPr>
      <w:r>
        <w:rPr>
          <w:u w:val="single"/>
          <w:lang w:val="el" w:eastAsia="el"/>
        </w:rPr>
        <w:t xml:space="preserve">5. </w:t>
      </w:r>
      <w:r>
        <w:rPr>
          <w:b/>
          <w:bCs/>
          <w:u w:val="single"/>
          <w:lang w:val="el" w:eastAsia="el"/>
        </w:rPr>
        <w:t>Αποδέκτες Πίνακα Η, πλην των 4, 10 και 11</w:t>
      </w:r>
    </w:p>
    <w:p>
      <w:pPr>
        <w:spacing w:before="240" w:after="240"/>
        <w:rPr>
          <w:lang w:val="el" w:eastAsia="el"/>
        </w:rPr>
      </w:pPr>
      <w:r>
        <w:rPr>
          <w:u w:val="single"/>
          <w:lang w:val="el" w:eastAsia="el"/>
        </w:rPr>
        <w:t xml:space="preserve">6. </w:t>
      </w:r>
      <w:r>
        <w:rPr>
          <w:b/>
          <w:bCs/>
          <w:u w:val="single"/>
          <w:lang w:val="el" w:eastAsia="el"/>
        </w:rPr>
        <w:t>Αποδέκτες Πίνακα Θ΄ μόνο οι αριθ. 10, 17, 18</w:t>
      </w:r>
    </w:p>
    <w:p>
      <w:pPr>
        <w:spacing w:before="240" w:after="240"/>
        <w:rPr>
          <w:lang w:val="el" w:eastAsia="el"/>
        </w:rPr>
      </w:pPr>
      <w:r>
        <w:rPr>
          <w:u w:val="single"/>
          <w:lang w:val="el" w:eastAsia="el"/>
        </w:rPr>
        <w:t xml:space="preserve">7. </w:t>
      </w:r>
      <w:r>
        <w:rPr>
          <w:b/>
          <w:bCs/>
          <w:u w:val="single"/>
          <w:lang w:val="el" w:eastAsia="el"/>
        </w:rPr>
        <w:t>Αποδέκτες Πίνακα ΙΒ΄</w:t>
      </w:r>
    </w:p>
    <w:p>
      <w:pPr>
        <w:spacing w:before="240" w:after="240"/>
        <w:rPr>
          <w:lang w:val="el" w:eastAsia="el"/>
        </w:rPr>
      </w:pPr>
      <w:r>
        <w:rPr>
          <w:u w:val="single"/>
          <w:lang w:val="el" w:eastAsia="el"/>
        </w:rPr>
        <w:t xml:space="preserve">8. </w:t>
      </w:r>
      <w:r>
        <w:rPr>
          <w:b/>
          <w:bCs/>
          <w:u w:val="single"/>
          <w:lang w:val="el" w:eastAsia="el"/>
        </w:rPr>
        <w:t>Αποδέκτες Πίνακα ΙΣΤ΄</w:t>
      </w:r>
    </w:p>
    <w:p>
      <w:pPr>
        <w:spacing w:before="240" w:after="240"/>
        <w:rPr>
          <w:lang w:val="el" w:eastAsia="el"/>
        </w:rPr>
      </w:pPr>
      <w:r>
        <w:rPr>
          <w:u w:val="single"/>
          <w:lang w:val="el" w:eastAsia="el"/>
        </w:rPr>
        <w:t xml:space="preserve">9. </w:t>
      </w:r>
      <w:r>
        <w:rPr>
          <w:b/>
          <w:bCs/>
          <w:u w:val="single"/>
          <w:lang w:val="el" w:eastAsia="el"/>
        </w:rPr>
        <w:t>Αποδέκτες Πίνακα ΙΘ΄</w:t>
      </w:r>
    </w:p>
    <w:p>
      <w:pPr>
        <w:spacing w:before="240" w:after="240"/>
        <w:rPr>
          <w:lang w:val="el" w:eastAsia="el"/>
        </w:rPr>
      </w:pPr>
      <w:r>
        <w:rPr>
          <w:u w:val="single"/>
          <w:lang w:val="el" w:eastAsia="el"/>
        </w:rPr>
        <w:t xml:space="preserve">10. </w:t>
      </w:r>
      <w:r>
        <w:rPr>
          <w:b/>
          <w:bCs/>
          <w:u w:val="single"/>
          <w:lang w:val="el" w:eastAsia="el"/>
        </w:rPr>
        <w:t>Γραφείο Υπουργού Οικονομικών κ. Χ. Σταϊκούρα</w:t>
      </w:r>
    </w:p>
    <w:p>
      <w:pPr>
        <w:spacing w:before="240" w:after="240"/>
        <w:rPr>
          <w:lang w:val="el" w:eastAsia="el"/>
        </w:rPr>
      </w:pPr>
      <w:r>
        <w:rPr>
          <w:u w:val="single"/>
          <w:lang w:val="el" w:eastAsia="el"/>
        </w:rPr>
        <w:t xml:space="preserve">11.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12.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Γενικού Δ/ντή Φορολογίας</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