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u w:val="single"/>
          <w:lang w:val="el" w:eastAsia="el"/>
        </w:rPr>
        <w:t xml:space="preserve">ΑΝΑΡΤΗΤΕΑ ΣΤΟ ΔΙΑΔΙΚΤΥΟ </w:t>
      </w:r>
      <w:r>
        <w:rPr>
          <w:b/>
          <w:bCs/>
          <w:lang w:val="el" w:eastAsia="el"/>
        </w:rPr>
        <w:t>ΑΔΑ : Ω81846ΜΠ3Ζ-6ΦΟ</w:t>
      </w:r>
    </w:p>
    <w:p>
      <w:pPr>
        <w:pStyle w:val="Title"/>
        <w:spacing w:before="120" w:after="360"/>
        <w:rPr>
          <w:lang w:val="el" w:eastAsia="el"/>
        </w:rPr>
      </w:pPr>
      <w:r>
        <w:rPr>
          <w:b/>
          <w:bCs/>
          <w:lang w:val="el" w:eastAsia="el"/>
        </w:rPr>
        <w:t>Αθήνα, 5 Ιουλίου 2023</w:t>
      </w:r>
    </w:p>
    <w:p>
      <w:pPr>
        <w:pStyle w:val="Title"/>
        <w:spacing w:before="120" w:after="360"/>
        <w:rPr>
          <w:lang w:val="el" w:eastAsia="el"/>
        </w:rPr>
      </w:pPr>
      <w:r>
        <w:rPr>
          <w:b/>
          <w:bCs/>
          <w:lang w:val="el" w:eastAsia="el"/>
        </w:rPr>
        <w:t>Ε. 2049</w:t>
      </w:r>
    </w:p>
    <w:p>
      <w:pPr>
        <w:pStyle w:val="Title"/>
        <w:spacing w:before="120" w:after="360"/>
        <w:rPr>
          <w:lang w:val="el" w:eastAsia="el"/>
        </w:rPr>
      </w:pPr>
      <w:r>
        <w:rPr>
          <w:b/>
          <w:bCs/>
          <w:lang w:val="el" w:eastAsia="el"/>
        </w:rPr>
        <w:t>Χανδρή 1 &amp; Θεσσαλονίκης ΠΡΟΣ: Ως Πίνακας Διανομής</w:t>
      </w:r>
    </w:p>
    <w:p>
      <w:pPr>
        <w:pStyle w:val="Title"/>
        <w:spacing w:before="120" w:after="360"/>
        <w:rPr>
          <w:lang w:val="el" w:eastAsia="el"/>
        </w:rPr>
      </w:pPr>
      <w:r>
        <w:rPr>
          <w:b/>
          <w:bCs/>
          <w:lang w:val="el" w:eastAsia="el"/>
        </w:rPr>
        <w:t>183 46 Μοσχάτο</w:t>
      </w:r>
    </w:p>
    <w:p>
      <w:pPr>
        <w:pStyle w:val="Title"/>
        <w:spacing w:before="120" w:after="360"/>
        <w:rPr>
          <w:lang w:val="el" w:eastAsia="el"/>
        </w:rPr>
      </w:pPr>
      <w:r>
        <w:rPr>
          <w:b/>
          <w:bCs/>
          <w:lang w:val="el" w:eastAsia="el"/>
        </w:rPr>
        <w:t>2104802627</w:t>
      </w:r>
    </w:p>
    <w:p>
      <w:pPr>
        <w:spacing w:before="240" w:after="240"/>
        <w:rPr>
          <w:lang w:val="el" w:eastAsia="el"/>
        </w:rPr>
      </w:pPr>
      <w:r>
        <w:rPr>
          <w:b/>
          <w:bCs/>
          <w:lang w:val="el" w:eastAsia="el"/>
        </w:rPr>
        <w:t>e-mail</w:t>
      </w:r>
    </w:p>
    <w:p>
      <w:pPr>
        <w:spacing w:before="240" w:after="240"/>
        <w:rPr>
          <w:lang w:val="el" w:eastAsia="el"/>
        </w:rPr>
      </w:pPr>
      <w:hyperlink r:id="rId4" w:history="1">
        <w:r>
          <w:rPr>
            <w:rStyle w:val="Hyperlink"/>
            <w:b/>
            <w:bCs/>
            <w:color w:val="0000EE"/>
            <w:u w:color="0000EE"/>
            <w:lang w:val="el" w:eastAsia="el"/>
          </w:rPr>
          <w:t>d ieldi@aade.gr</w:t>
        </w:r>
      </w:hyperlink>
    </w:p>
    <w:p>
      <w:pPr>
        <w:spacing w:before="240" w:after="240"/>
        <w:rPr>
          <w:lang w:val="el" w:eastAsia="el"/>
        </w:rPr>
      </w:pPr>
      <w:r>
        <w:rPr>
          <w:lang w:val="el" w:eastAsia="el"/>
        </w:rPr>
        <w:t xml:space="preserve">2. </w:t>
      </w:r>
      <w:r>
        <w:rPr>
          <w:b/>
          <w:bCs/>
          <w:lang w:val="el" w:eastAsia="el"/>
        </w:rPr>
        <w:t>ΔΙΕΥΘΥΝΣΗ ΕΦΑΡΜΟΓΗΣ ΕΜΜΕΣΗΣ ΦΟΡΟΛΟΓΙΑΣ</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 eef@aade.gr</w:t>
        </w:r>
      </w:hyperlink>
    </w:p>
    <w:p>
      <w:pPr>
        <w:spacing w:before="240" w:after="240"/>
        <w:rPr>
          <w:lang w:val="el" w:eastAsia="el"/>
        </w:rPr>
      </w:pPr>
      <w:r>
        <w:rPr>
          <w:b/>
          <w:bCs/>
          <w:lang w:val="el" w:eastAsia="el"/>
        </w:rPr>
        <w:t>ΘΕΜΑ: «Παροχή διευκρινίσεων σχετικά με την επιβολή προστίμων του ΚΦΔ και λοιπών κυρώσεων σε περιπτώσεις μη έκδοσης ή ανακριβούς έκδοσης παραστατικών και μη έκδοση απόδειξης ή άλλου φορολογικού στοιχείου για αυτοπαράδοση αγαθών».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επιβολή των προστίμων του ΚΦΔ (ν.4987/2022, Α΄206) και τυχόν λοιπών κυρώσεων (άρθρ. 13Α του ν.2523/1997) σε περιπτώσεις μη έκδοσης ή ανακριβούς έκδοσης παραστατικών και μη έκδοσης απόδειξης ή άλλου φορολογικού στοιχείου για αυτοπαράδοση αγαθών.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διευκρινίζονται ζητήματα σχετικά με την επιβολή κυρώσεων στις περιπτώσεις που διαπιστώνεται (α) η έκδοση στοιχείων λιανικής πώλησης με αναγραφή μη ορθού συντελεστή Φ.Π.Α. και (β) η μη έκδοση ειδικού στοιχείου αυτοπαράδοσης αγαθών ή ιδιοχρησιµοποίησης υπηρεσιών.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τις ελεγκτικές υπηρεσίες, Φ.Π. ασκούντα επιχειρηματική δραστηριότητα, νομικά πρόσωπα και νομικές οντότητες.</w:t>
      </w:r>
    </w:p>
    <w:p>
      <w:pPr>
        <w:spacing w:before="240" w:after="240"/>
        <w:rPr>
          <w:lang w:val="el" w:eastAsia="el"/>
        </w:rPr>
      </w:pPr>
      <w:r>
        <w:rPr>
          <w:b/>
          <w:bCs/>
          <w:lang w:val="el" w:eastAsia="el"/>
        </w:rPr>
        <w:t>Με αφορμή ερωτήματα που υποβλήθηκαν στην Υπηρεσία μας σχετικά με το παραπάνω θέμα, παρέχονται οι κάτωθι διευκρινίσεις:</w:t>
      </w:r>
    </w:p>
    <w:p>
      <w:pPr>
        <w:spacing w:before="240" w:after="240"/>
        <w:rPr>
          <w:lang w:val="el" w:eastAsia="el"/>
        </w:rPr>
      </w:pPr>
      <w:r>
        <w:rPr>
          <w:b/>
          <w:bCs/>
          <w:lang w:val="el" w:eastAsia="el"/>
        </w:rPr>
        <w:t>Ι. Οι διατάξεις της παραγράφου 2 του άρθρου 12 του ν.4308/2014 ( εφεξής ΕΛΠ) καθορίζουν το υποχρεωτικό περιεχόμενο των στοιχείων λιανικής πώλησης. Σύμφωνα με τις διατάξεις αυτές το στοιχείο λιανικής πώλησης φέρει υποχρεωτικά, μεταξύ άλλων, ένδειξη για το συντελεστή Φ.Π.Α. που εφαρμόζεται και τη μικτή αξία πώλησης που αυτός αφορά.</w:t>
      </w:r>
    </w:p>
    <w:p>
      <w:pPr>
        <w:spacing w:before="240" w:after="240"/>
        <w:rPr>
          <w:lang w:val="el" w:eastAsia="el"/>
        </w:rPr>
      </w:pPr>
      <w:r>
        <w:rPr>
          <w:b/>
          <w:bCs/>
          <w:lang w:val="el" w:eastAsia="el"/>
        </w:rPr>
        <w:t>Με τις διατάξεις του εδ. η΄της παρ.5 του άρθρου 66 του Κώδικα Φορολογικής Διαδικασίας (ν. 4987/2022, Α΄206 εφεξής ΚΦΔ), μεταξύ άλλων ορίζεται ότι, τα φορολογικά στοιχεία στα οποία αναγράφεται αξία συναλλαγής κατώτερη της πραγματικής θεωρούνται πάντοτε για τους σκοπούς του Κ.Φ.Δ. ως ανακριβή.</w:t>
      </w:r>
    </w:p>
    <w:p>
      <w:pPr>
        <w:spacing w:before="240" w:after="240"/>
        <w:rPr>
          <w:lang w:val="el" w:eastAsia="el"/>
        </w:rPr>
      </w:pPr>
      <w:r>
        <w:rPr>
          <w:b/>
          <w:bCs/>
          <w:lang w:val="el" w:eastAsia="el"/>
        </w:rPr>
        <w:t>Επιπλέον στην παρ. 1 του άρθρου 58Α του ΚΦΔ, προβλέπονται τα κατά περίπτωση επιβαλλόμενα πρόστιμα σε περίπτωση μη έκδοσης φορολογικού στοιχείου ή έκδοσης ή λήψης ανακριβούς στοιχείου, για πράξη που επιβαρύνεται με ΦΠΑ.</w:t>
      </w:r>
    </w:p>
    <w:p>
      <w:pPr>
        <w:spacing w:before="240" w:after="240"/>
        <w:rPr>
          <w:lang w:val="el" w:eastAsia="el"/>
        </w:rPr>
      </w:pPr>
      <w:r>
        <w:rPr>
          <w:b/>
          <w:bCs/>
          <w:lang w:val="el" w:eastAsia="el"/>
        </w:rPr>
        <w:t>Ειδικότερα και όσον αφορά τα στοιχεία λιανικής πώλησης, δεδομένου ότι η συναλλαγή μεταξύ των συμβαλλομένων μερών πραγματοποιείται με την έκδοση του στοιχείου λιανικής πώλησης και την καταβολή του αναγραφόμενου στο στοιχείο τιμήματος, στις περιπτώσεις της αναγραφής μη ορθού συντελεστή ΦΠΑ, δεν νοείται ανακρίβεια ως προς την αξία της συναλλαγής, λαμβάνοντας επιπλέον υπόψη ότι ο υπολογισμός και η απόδοση του φόρου γίνεται με την υποβολή της δήλωσης, ή κατόπιν διορθωτικού προσδιορισμού του φόρου ύστερα από εντολή φορολογικού ελέγχου (ζήτημα σε κάθε περίπτωση πραγματικό).</w:t>
      </w:r>
    </w:p>
    <w:p>
      <w:pPr>
        <w:spacing w:before="240" w:after="240"/>
        <w:rPr>
          <w:lang w:val="el" w:eastAsia="el"/>
        </w:rPr>
      </w:pPr>
      <w:r>
        <w:rPr>
          <w:b/>
          <w:bCs/>
          <w:lang w:val="el" w:eastAsia="el"/>
        </w:rPr>
        <w:t>ΙΙ. Περαιτέρω με τις διατάξεις των ΕΛΠ δεν ορίζεται η έκδοση ειδικού στοιχείου αυτοπαράδοσης αγαθών ή ιδιοχρησιµοποίησης υπηρεσιών, ωστόσο οι περιπτώσεις για τις οποίες απαιτείται η έκδοση του ως άνω ειδικού στοιχείου ορίζονται με την υπουργική απόφαση Π.7475/791/7.11.1986 (Β΄791), που έχει εκδοθεί κατ’ εξουσιοδότηση των διατάξεων περί Φόρου Προστιθέμενης Αξίας (Φ.Π.Α.).</w:t>
      </w:r>
    </w:p>
    <w:p>
      <w:pPr>
        <w:spacing w:before="240" w:after="240"/>
        <w:rPr>
          <w:lang w:val="el" w:eastAsia="el"/>
        </w:rPr>
      </w:pPr>
      <w:r>
        <w:rPr>
          <w:b/>
          <w:bCs/>
          <w:lang w:val="el" w:eastAsia="el"/>
        </w:rPr>
        <w:t>Σημειώνεται ότι οι πράξεις αυτοπαράδοσης αγαθών ή ιδιοχρησιµοποίησης υπηρεσιών δεν έχουν τα εννοιολογικά στοιχεία της πώλησης, καθόσον είτε λείπει το στοιχείο του ανταλλάγματος ή/και ο αντισυμβαλλόμενος και θεωρούνται για την εφαρμογή των διατάξεων του ν.2859/2000, ως παράδοση αγαθών ή υπηρεσιών.</w:t>
      </w:r>
    </w:p>
    <w:p>
      <w:pPr>
        <w:spacing w:before="240" w:after="240"/>
        <w:rPr>
          <w:lang w:val="el" w:eastAsia="el"/>
        </w:rPr>
      </w:pPr>
      <w:r>
        <w:rPr>
          <w:b/>
          <w:bCs/>
          <w:lang w:val="el" w:eastAsia="el"/>
        </w:rPr>
        <w:t>ΙΙΙ. Τέλος, με τις διατάξεις της παρ. 1 του άρθρου 13Α του ν.2523/1997 προβλέπονται και σχετικές κυρώσεις για την αναστολή λειτουργίας της επαγγελματικής εγκατάστασης στην οποία διενεργήθηκε ο έλεγχος, εφόσον, από τον ίδιο μερικό επιτόπιο φορολογικό έλεγχο διαπιστώνεται, μεταξύ άλλων, η μη έκδοση ή η κατά την έννοια του Κώδικα Φορολογικής Διαδικασίας ανακριβής έκδοση παραστατικών πώλησης άνω του κατά περίπτωση οριζόμενου πλήθους παραστατικών ή, ανεξαρτήτως του πλήθους αυτών, άνω της οριζόμενης στο εν λόγω άρθρο αξίας των αγαθών ή υπηρεσιών.</w:t>
      </w:r>
    </w:p>
    <w:p>
      <w:pPr>
        <w:spacing w:before="240" w:after="240"/>
        <w:rPr>
          <w:lang w:val="el" w:eastAsia="el"/>
        </w:rPr>
      </w:pPr>
      <w:r>
        <w:rPr>
          <w:b/>
          <w:bCs/>
          <w:lang w:val="el" w:eastAsia="el"/>
        </w:rPr>
        <w:t>IV. Από τα παραπάνω προκύπτει ότι τα πρόστιμα και οι κυρώσεις των ως άνω διατάξεων, δεν επιβάλλονται στις περιπτώσεις: α) έκδοσης στοιχείων λιανικής πώλησης με αναγραφή μη ορθού σε σχέση με τον προβλεπόμενο συντελεστή ΦΠΑ, καθόσον η χρήση μη ορθού συντελεστή ΦΠΑ στα στοιχεία αυτά, τα οποία φέρουν τη συνολική αξία της πραγματοποιηθείσας συμπεριλαμβανομένου του ΦΠΑ από τους αντισυμβαλλόμενους συναλλαγής, δεν καθιστά τα εν λόγω στοιχεία ανακριβή σύμφωνα με τα προαναφερόμενα. β) μη έκδοσης ειδικού στοιχείου αυτοπαράδοσης αγαθών ή ιδιοχρησιµοποίησης υπηρεσιών, καθόσον το εν λόγω ειδικό στοιχείο δεν αποτελεί παραστατικό πώλησης.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ΑΝΕΞΑΡΤΗΤΗ ΑΡΧΗ ΔΗΜΟΣΙΩΝ ΕΣΟΔΩΝ (ΑΑΔΕ)</w:t>
      </w:r>
    </w:p>
    <w:p>
      <w:pPr>
        <w:spacing w:before="240" w:after="240"/>
        <w:rPr>
          <w:lang w:val="el" w:eastAsia="el"/>
        </w:rPr>
      </w:pPr>
      <w:r>
        <w:rPr>
          <w:b/>
          <w:bCs/>
          <w:lang w:val="el" w:eastAsia="el"/>
        </w:rPr>
        <w:t xml:space="preserve">1. </w:t>
      </w:r>
      <w:r>
        <w:rPr>
          <w:b/>
          <w:bCs/>
          <w:lang w:val="el" w:eastAsia="el"/>
        </w:rPr>
        <w:t>Γενική Διεύθυνση Φορολογικών Λειτουργιών (Γ.Δ.Φ.Λ.)</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Προϊσταμένους των Δημόσιων Οικονομικών Υπηρεσιών (Δ.Ο.Υ.)</w:t>
      </w:r>
    </w:p>
    <w:p>
      <w:pPr>
        <w:pStyle w:val="StructureList1"/>
        <w:spacing w:before="120" w:after="0"/>
        <w:rPr>
          <w:lang w:val="el" w:eastAsia="el"/>
        </w:rPr>
      </w:pPr>
      <w:r>
        <w:rPr>
          <w:b/>
          <w:bCs/>
          <w:lang w:val="el" w:eastAsia="el"/>
        </w:rPr>
        <w:t>β)</w:t>
      </w:r>
      <w:r>
        <w:rPr>
          <w:b/>
          <w:bCs/>
          <w:lang w:val="en" w:eastAsia="en"/>
        </w:rPr>
        <w:tab/>
      </w:r>
      <w:r>
        <w:rPr>
          <w:b/>
          <w:bCs/>
          <w:lang w:val="el" w:eastAsia="el"/>
        </w:rPr>
        <w:t>Κέντρο Ελέγχου Φορολογούμενων Μεγάλου Πλούτου (Κ.Ε.ΦΟ.ΜΕ.Π.)</w:t>
      </w:r>
    </w:p>
    <w:p>
      <w:pPr>
        <w:pStyle w:val="StructureList1"/>
        <w:spacing w:before="120" w:after="0"/>
        <w:rPr>
          <w:lang w:val="el" w:eastAsia="el"/>
        </w:rPr>
      </w:pPr>
      <w:r>
        <w:rPr>
          <w:b/>
          <w:bCs/>
          <w:lang w:val="el" w:eastAsia="el"/>
        </w:rPr>
        <w:t>γ)</w:t>
      </w:r>
      <w:r>
        <w:rPr>
          <w:b/>
          <w:bCs/>
          <w:lang w:val="en" w:eastAsia="en"/>
        </w:rPr>
        <w:tab/>
      </w:r>
      <w:r>
        <w:rPr>
          <w:b/>
          <w:bCs/>
          <w:lang w:val="el" w:eastAsia="el"/>
        </w:rPr>
        <w:t>Κέντρο Ελέγχου Μεγάλων Επιχειρήσεων (Κ.Ε.ΜΕ.ΕΠ.)</w:t>
      </w:r>
    </w:p>
    <w:p>
      <w:pPr>
        <w:pStyle w:val="StructureList1"/>
        <w:spacing w:before="120" w:after="0"/>
        <w:rPr>
          <w:lang w:val="el" w:eastAsia="el"/>
        </w:rPr>
      </w:pPr>
      <w:r>
        <w:rPr>
          <w:b/>
          <w:bCs/>
          <w:lang w:val="el" w:eastAsia="el"/>
        </w:rPr>
        <w:t>δ)</w:t>
      </w:r>
      <w:r>
        <w:rPr>
          <w:b/>
          <w:bCs/>
          <w:lang w:val="en" w:eastAsia="en"/>
        </w:rPr>
        <w:tab/>
      </w:r>
      <w:r>
        <w:rPr>
          <w:b/>
          <w:bCs/>
          <w:lang w:val="el" w:eastAsia="el"/>
        </w:rPr>
        <w:t>Προϊσταμένους των Ελεγκτικών Κέντρων (ΕΛ.ΚΕ.)</w:t>
      </w:r>
    </w:p>
    <w:p>
      <w:pPr>
        <w:spacing w:before="240" w:after="240"/>
        <w:rPr>
          <w:lang w:val="el" w:eastAsia="el"/>
        </w:rPr>
      </w:pPr>
      <w:r>
        <w:rPr>
          <w:b/>
          <w:bCs/>
          <w:lang w:val="el" w:eastAsia="el"/>
        </w:rPr>
        <w:t xml:space="preserve">2.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ΑΝΕΞΑΡΤΗΤΗ ΑΡΧΗ ΔΗΜΟΣΙΩΝ ΕΣΟΔΩΝ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Αποδέκτες του Πίνακα Α΄(αριθ. 1 και 4)</w:t>
      </w:r>
    </w:p>
    <w:p>
      <w:pPr>
        <w:pStyle w:val="StructureList1"/>
        <w:spacing w:before="120" w:after="0"/>
        <w:rPr>
          <w:lang w:val="el" w:eastAsia="el"/>
        </w:rPr>
      </w:pPr>
      <w:r>
        <w:rPr>
          <w:b/>
          <w:bCs/>
          <w:lang w:val="el" w:eastAsia="el"/>
        </w:rPr>
        <w:t>β)</w:t>
      </w:r>
      <w:r>
        <w:rPr>
          <w:b/>
          <w:bCs/>
          <w:lang w:val="en" w:eastAsia="en"/>
        </w:rPr>
        <w:tab/>
      </w:r>
      <w:r>
        <w:rPr>
          <w:b/>
          <w:bCs/>
          <w:lang w:val="el" w:eastAsia="el"/>
        </w:rPr>
        <w:t>Αποδέκτες του Πίνακα Β΄ (αριθ. 1, 2, 3, 4)</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Αποδέκτες του Πίνακα Γ΄ (αριθ. 1, 2, 5)</w:t>
      </w:r>
    </w:p>
    <w:p>
      <w:pPr>
        <w:pStyle w:val="StructureList1"/>
        <w:spacing w:before="120" w:after="0"/>
        <w:rPr>
          <w:lang w:val="el" w:eastAsia="el"/>
        </w:rPr>
      </w:pPr>
      <w:r>
        <w:rPr>
          <w:b/>
          <w:bCs/>
          <w:lang w:val="el" w:eastAsia="el"/>
        </w:rPr>
        <w:t>δ)</w:t>
      </w:r>
      <w:r>
        <w:rPr>
          <w:b/>
          <w:bCs/>
          <w:lang w:val="en" w:eastAsia="en"/>
        </w:rPr>
        <w:tab/>
      </w:r>
      <w:r>
        <w:rPr>
          <w:b/>
          <w:bCs/>
          <w:lang w:val="el" w:eastAsia="el"/>
        </w:rPr>
        <w:t>Αποδέκτες Πίνακα Ζ΄</w:t>
      </w:r>
    </w:p>
    <w:p>
      <w:pPr>
        <w:spacing w:before="240" w:after="240"/>
        <w:rPr>
          <w:lang w:val="el" w:eastAsia="el"/>
        </w:rPr>
      </w:pPr>
      <w:r>
        <w:rPr>
          <w:b/>
          <w:bCs/>
          <w:lang w:val="el" w:eastAsia="el"/>
        </w:rPr>
        <w:t xml:space="preserve">(αριθ. 1.ΠΟΕ Δ.Ο.Υ. και 7.Περιοδικό "Φορολογική Επιθεώρηση" [με την παράκληση να δημοσιευθεί και να αναρτηθεί στην ιστοσελίδα: </w:t>
      </w:r>
      <w:hyperlink r:id="rId6" w:history="1">
        <w:r>
          <w:rPr>
            <w:rStyle w:val="Hyperlink"/>
            <w:b/>
            <w:bCs/>
            <w:color w:val="0000EE"/>
            <w:u w:color="0000EE"/>
            <w:lang w:val="el" w:eastAsia="el"/>
          </w:rPr>
          <w:t>www.poedoy.gr</w:t>
        </w:r>
      </w:hyperlink>
      <w:r>
        <w:rPr>
          <w:b/>
          <w:bCs/>
          <w:lang w:val="el" w:eastAsia="el"/>
        </w:rPr>
        <w:t>] )</w:t>
      </w:r>
    </w:p>
    <w:p>
      <w:pPr>
        <w:pStyle w:val="StructureList1"/>
        <w:spacing w:before="120" w:after="0"/>
        <w:rPr>
          <w:lang w:val="el" w:eastAsia="el"/>
        </w:rPr>
      </w:pPr>
      <w:r>
        <w:rPr>
          <w:b/>
          <w:bCs/>
          <w:lang w:val="el" w:eastAsia="el"/>
        </w:rPr>
        <w:t>ε)</w:t>
      </w:r>
      <w:r>
        <w:rPr>
          <w:b/>
          <w:bCs/>
          <w:lang w:val="en" w:eastAsia="en"/>
        </w:rPr>
        <w:tab/>
      </w:r>
      <w:r>
        <w:rPr>
          <w:b/>
          <w:bCs/>
          <w:lang w:val="el" w:eastAsia="el"/>
        </w:rPr>
        <w:t>Αποδέκτες Πίνακα Η΄(εκτός των αρ. 4, 10 και 11)</w:t>
      </w:r>
    </w:p>
    <w:p>
      <w:pPr>
        <w:pStyle w:val="StructureList1"/>
        <w:spacing w:before="120" w:after="0"/>
        <w:rPr>
          <w:lang w:val="el" w:eastAsia="el"/>
        </w:rPr>
      </w:pPr>
      <w:r>
        <w:rPr>
          <w:b/>
          <w:bCs/>
          <w:lang w:val="el" w:eastAsia="el"/>
        </w:rPr>
        <w:t>στ)</w:t>
      </w:r>
      <w:r>
        <w:rPr>
          <w:b/>
          <w:bCs/>
          <w:lang w:val="en" w:eastAsia="en"/>
        </w:rPr>
        <w:tab/>
      </w:r>
      <w:r>
        <w:rPr>
          <w:b/>
          <w:bCs/>
          <w:lang w:val="el" w:eastAsia="el"/>
        </w:rPr>
        <w:t>Αποδέκτες του Πίνακα Ι΄(αριθ. 4)</w:t>
      </w:r>
    </w:p>
    <w:p>
      <w:pPr>
        <w:pStyle w:val="StructureList1"/>
        <w:spacing w:before="120" w:after="0"/>
        <w:rPr>
          <w:lang w:val="el" w:eastAsia="el"/>
        </w:rPr>
      </w:pPr>
      <w:r>
        <w:rPr>
          <w:b/>
          <w:bCs/>
          <w:lang w:val="el" w:eastAsia="el"/>
        </w:rPr>
        <w:t>ζ)</w:t>
      </w:r>
      <w:r>
        <w:rPr>
          <w:b/>
          <w:bCs/>
          <w:lang w:val="en" w:eastAsia="en"/>
        </w:rPr>
        <w:tab/>
      </w:r>
      <w:r>
        <w:rPr>
          <w:b/>
          <w:bCs/>
          <w:lang w:val="el" w:eastAsia="el"/>
        </w:rPr>
        <w:t>Αποδέκτες Πίνακα ΙΑ΄(αριθ. 2)</w:t>
      </w:r>
    </w:p>
    <w:p>
      <w:pPr>
        <w:pStyle w:val="StructureList1"/>
        <w:spacing w:before="120" w:after="0"/>
        <w:rPr>
          <w:lang w:val="el" w:eastAsia="el"/>
        </w:rPr>
      </w:pPr>
      <w:r>
        <w:rPr>
          <w:b/>
          <w:bCs/>
          <w:lang w:val="el" w:eastAsia="el"/>
        </w:rPr>
        <w:t>η)</w:t>
      </w:r>
      <w:r>
        <w:rPr>
          <w:b/>
          <w:bCs/>
          <w:lang w:val="en" w:eastAsia="en"/>
        </w:rPr>
        <w:tab/>
      </w:r>
      <w:r>
        <w:rPr>
          <w:b/>
          <w:bCs/>
          <w:lang w:val="el" w:eastAsia="el"/>
        </w:rPr>
        <w:t>Διεύθυνση Επιχειρησιακού Σχεδιασμού Ελέγχων</w:t>
      </w:r>
    </w:p>
    <w:p>
      <w:pPr>
        <w:spacing w:before="240" w:after="240"/>
        <w:rPr>
          <w:lang w:val="el" w:eastAsia="el"/>
        </w:rPr>
      </w:pPr>
      <w:r>
        <w:rPr>
          <w:b/>
          <w:bCs/>
          <w:lang w:val="el" w:eastAsia="el"/>
        </w:rPr>
        <w:t xml:space="preserve">2. </w:t>
      </w:r>
      <w:r>
        <w:rPr>
          <w:b/>
          <w:bCs/>
          <w:lang w:val="el" w:eastAsia="el"/>
        </w:rPr>
        <w:t>ΥΠΟΥΡΓΕΙΟ ΟΙΚΟΝΟΜΙΚΩΝ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 Οικονομικών</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ΑΑΔΕ</w:t>
      </w:r>
    </w:p>
    <w:p>
      <w:pPr>
        <w:spacing w:before="240" w:after="240"/>
        <w:rPr>
          <w:lang w:val="el" w:eastAsia="el"/>
        </w:rPr>
      </w:pPr>
      <w:r>
        <w:rPr>
          <w:b/>
          <w:bCs/>
          <w:lang w:val="el" w:eastAsia="el"/>
        </w:rPr>
        <w:t xml:space="preserve">2. </w:t>
      </w:r>
      <w:r>
        <w:rPr>
          <w:b/>
          <w:bCs/>
          <w:lang w:val="el" w:eastAsia="el"/>
        </w:rPr>
        <w:t>Προϊστάμενο της Γενικής Διεύθυνσης Φορολογίας</w:t>
      </w:r>
    </w:p>
    <w:p>
      <w:pPr>
        <w:spacing w:before="240" w:after="240"/>
        <w:rPr>
          <w:lang w:val="el" w:eastAsia="el"/>
        </w:rPr>
      </w:pPr>
      <w:r>
        <w:rPr>
          <w:b/>
          <w:bCs/>
          <w:lang w:val="el" w:eastAsia="el"/>
        </w:rPr>
        <w:t xml:space="preserve">3. </w:t>
      </w:r>
      <w:r>
        <w:rPr>
          <w:b/>
          <w:bCs/>
          <w:lang w:val="el" w:eastAsia="el"/>
        </w:rPr>
        <w:t>Προϊστάμενο της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Διεύθυνση Νομικής Υποστήριξης</w:t>
      </w:r>
    </w:p>
    <w:p>
      <w:pPr>
        <w:spacing w:before="240" w:after="240"/>
        <w:rPr>
          <w:lang w:val="el" w:eastAsia="el"/>
        </w:rPr>
      </w:pPr>
      <w:r>
        <w:rPr>
          <w:b/>
          <w:bCs/>
          <w:lang w:val="el" w:eastAsia="el"/>
        </w:rPr>
        <w:t xml:space="preserve">5.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6. </w:t>
      </w:r>
      <w:r>
        <w:rPr>
          <w:b/>
          <w:bCs/>
          <w:lang w:val="el" w:eastAsia="el"/>
        </w:rPr>
        <w:t>Διεύθυνση Ελεγκτικών Διαδικασιών,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eef@aad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