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 6ΛΕΤ46ΜΠ3Ζ-2ΣΞ</w:t>
      </w:r>
    </w:p>
    <w:p>
      <w:pPr>
        <w:pStyle w:val="PreambelText"/>
        <w:spacing w:before="240" w:after="240"/>
        <w:rPr>
          <w:lang w:val="el" w:eastAsia="el"/>
        </w:rPr>
      </w:pPr>
      <w:r>
        <w:rPr>
          <w:b/>
          <w:bCs/>
          <w:lang w:val="el" w:eastAsia="el"/>
        </w:rPr>
        <w:t>Αθήνα, 20/7/2023</w:t>
      </w:r>
    </w:p>
    <w:p>
      <w:pPr>
        <w:pStyle w:val="PreambelText"/>
        <w:spacing w:before="240" w:after="240"/>
        <w:rPr>
          <w:lang w:val="el" w:eastAsia="el"/>
        </w:rPr>
      </w:pPr>
      <w:r>
        <w:rPr>
          <w:b/>
          <w:bCs/>
          <w:lang w:val="el" w:eastAsia="el"/>
        </w:rPr>
        <w:t>Ε.2050</w:t>
      </w:r>
    </w:p>
    <w:p>
      <w:pPr>
        <w:pStyle w:val="PreambelText"/>
        <w:spacing w:before="240" w:after="240"/>
        <w:rPr>
          <w:lang w:val="el" w:eastAsia="el"/>
        </w:rPr>
      </w:pPr>
      <w:r>
        <w:rPr>
          <w:b/>
          <w:bCs/>
          <w:lang w:val="el" w:eastAsia="el"/>
        </w:rPr>
        <w:t>1.ΓΕΝΙΚΗ ΔΙΕΥΘΥΝΣΗ ΦΟΡΟΛΟΓΙΑΣ</w:t>
      </w:r>
    </w:p>
    <w:p>
      <w:pPr>
        <w:pStyle w:val="PreambelText"/>
        <w:spacing w:before="240" w:after="24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ΤΕΛΩΝ &amp; ΕΙΔΙΚΩΝ ΦΟΡΟΛΟΓΙΩΝ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8"/>
        <w:gridCol w:w="57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sz w:val="30"/>
                <w:szCs w:val="30"/>
                <w:vertAlign w:val="superscript"/>
                <w:lang w:val="el" w:eastAsia="el"/>
              </w:rPr>
              <w:t>: Σίν</w:t>
            </w:r>
            <w:r>
              <w:rPr>
                <w:b/>
                <w:bCs/>
                <w:i w:val="0"/>
                <w:iCs w:val="0"/>
                <w:smallCaps w:val="0"/>
                <w:color w:val="000000"/>
                <w:lang w:val="el" w:eastAsia="el"/>
              </w:rPr>
              <w:t xml:space="preserve">α </w:t>
            </w:r>
            <w:r>
              <w:rPr>
                <w:b/>
                <w:bCs/>
                <w:i w:val="0"/>
                <w:iCs w:val="0"/>
                <w:smallCaps w:val="0"/>
                <w:color w:val="000000"/>
                <w:sz w:val="30"/>
                <w:szCs w:val="30"/>
                <w:vertAlign w:val="superscript"/>
                <w:lang w:val="el" w:eastAsia="el"/>
              </w:rPr>
              <w:t>2-4</w:t>
            </w:r>
            <w:r>
              <w:rPr>
                <w:b/>
                <w:bCs/>
                <w:i w:val="0"/>
                <w:iCs w:val="0"/>
                <w:smallCaps w:val="0"/>
                <w:color w:val="000000"/>
                <w:lang w:val="el" w:eastAsia="el"/>
              </w:rPr>
              <w:t xml:space="preserve"> ΠΡΟΣ: Ως πίνακα διανομής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Ταχ.</w:t>
            </w:r>
          </w:p>
          <w:p>
            <w:pPr>
              <w:spacing w:before="240"/>
              <w:rPr>
                <w:b w:val="0"/>
                <w:bCs w:val="0"/>
                <w:i w:val="0"/>
                <w:iCs w:val="0"/>
                <w:smallCaps w:val="0"/>
                <w:color w:val="000000"/>
                <w:lang w:val="el" w:eastAsia="el"/>
              </w:rPr>
            </w:pPr>
            <w:r>
              <w:rPr>
                <w:b/>
                <w:bCs/>
                <w:i w:val="0"/>
                <w:iCs w:val="0"/>
                <w:smallCaps w:val="0"/>
                <w:color w:val="000000"/>
                <w:lang w:val="el" w:eastAsia="el"/>
              </w:rPr>
              <w:t>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106 72,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2132122400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4" w:history="1">
              <w:r>
                <w:rPr>
                  <w:rStyle w:val="Hyperlink"/>
                  <w:b/>
                  <w:bCs/>
                  <w:i w:val="0"/>
                  <w:iCs w:val="0"/>
                  <w:smallCaps w:val="0"/>
                  <w:color w:val="0000EE"/>
                  <w:u w:color="0000EE"/>
                  <w:lang w:val="el" w:eastAsia="el"/>
                </w:rPr>
                <w:t>deef@aade.gr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5"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2.ΓΕΝΙΚΗ ΔΙΕΥΘΥΝΣΗ ΗΛΕΚΤΡΟΝΙΚΗΣ ΔΙΑΚΥΒΕΡΝΗΣΗΣ</w:t>
      </w:r>
    </w:p>
    <w:p>
      <w:pPr>
        <w:spacing w:before="240" w:after="240"/>
        <w:rPr>
          <w:lang w:val="el" w:eastAsia="el"/>
        </w:rPr>
      </w:pPr>
      <w:r>
        <w:rPr>
          <w:b/>
          <w:bCs/>
          <w:lang w:val="el" w:eastAsia="el"/>
        </w:rPr>
        <w:t>Α. ΔΙΕΥΘΥΝΣΗ ΕΠΙΧΕΙΡΗΣΙΑΚΩΝ ΔΙΑΔΙΚΑΣΙΩΝ</w:t>
      </w:r>
    </w:p>
    <w:p>
      <w:pPr>
        <w:spacing w:before="240" w:after="240"/>
        <w:rPr>
          <w:lang w:val="el" w:eastAsia="el"/>
        </w:rPr>
      </w:pPr>
      <w:r>
        <w:rPr>
          <w:b/>
          <w:bCs/>
          <w:lang w:val="el" w:eastAsia="el"/>
        </w:rPr>
        <w:t>Β. ΔΙΕΥΘΥΝΣΗ ΑΝΑΠΤΥΞΗΣ ΦΟΡΟΛΟΓΙΚΩΝ ΕΦΑΡΜΟΓΩΝ</w:t>
      </w:r>
    </w:p>
    <w:p>
      <w:pPr>
        <w:spacing w:before="240" w:after="240"/>
        <w:rPr>
          <w:lang w:val="el" w:eastAsia="el"/>
        </w:rPr>
      </w:pPr>
      <w:r>
        <w:rPr>
          <w:b/>
          <w:bCs/>
          <w:lang w:val="el" w:eastAsia="el"/>
        </w:rPr>
        <w:t>ΘΕΜΑ: Νέα προθεσμία προσκόμισης δικαιολογητικών για την απαλλαγή από τα τέλη κυκλοφορίας έτους 2023, λόγω αναπηρίας οχημάτων που δεν διορθώθηκε έως σήμερα η εικόνα τους στο πληροφοριακό σύστημα οχημάτων (ΠΣΟ).</w:t>
      </w:r>
    </w:p>
    <w:p>
      <w:pPr>
        <w:spacing w:before="240" w:after="240"/>
        <w:rPr>
          <w:lang w:val="el" w:eastAsia="el"/>
        </w:rPr>
      </w:pPr>
      <w:r>
        <w:rPr>
          <w:b/>
          <w:bCs/>
          <w:lang w:val="el" w:eastAsia="el"/>
        </w:rPr>
        <w:t>Σχετ. Ε 2014/2023.ΠΕΡΙΛΗΨΗ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Η εγκύκλιος αφορά στη δυνατότητα προσκόμισης δικαιολογητικών μέχρι 2909-2023 για την απαλλαγή από τα τέλη κυκλοφορίας έτους 2023, λόγω αναπηρίας, οχημάτων που δεν διορθώθηκε έως σήμερα η εικόνα τους στο Πληροφοριακό Σύστημα Οχημάτων (ΠΣΟ).</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ορίζεται νέα καταληκτική προθεσμία για την προσκόμιση των δικαιολογητικών όσων ιδιοκτητών αναπηρικών οχημάτων δεν προσήλθαν για έλεγχο δικαιολογητικών για τη διόρθωση της εικόνας τους στο ΠΣΟ, ώστε να δικαιούνται απαλλαγής για τα τέλη κυκλοφορίας έτους 2023.</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Αφορά κατόχους αναπηρικών οχημάτων οι οποίοι δεν έχουν έως σήμερα προσκομίσει στη Δ.Ο.Υ. τα απαραίτητα δικαιολογητικά ώστε να ελεγχθούν οι προϋποθέσεις απαλλαγής και να διορθωθεί η εικόνα τους στο ΠΣΟ.</w:t>
      </w:r>
    </w:p>
    <w:p>
      <w:pPr>
        <w:spacing w:before="240" w:after="240"/>
        <w:rPr>
          <w:lang w:val="el" w:eastAsia="el"/>
        </w:rPr>
      </w:pPr>
      <w:r>
        <w:rPr>
          <w:b/>
          <w:bCs/>
          <w:lang w:val="el" w:eastAsia="el"/>
        </w:rPr>
        <w:t>Σε συνέχεια της εγκυκλίου Ε. 2014/14-3-2023 και όσον αφορά τις περιπτώσεις της παρ. Γ αυτής, για τα αναπηρικά οχήματα που δεν διορθώθηκε η εικόνα τους, λόγω μη προσέλευσης των ιδιοκτητών τους για έλεγχο δικαιολογητικών έως σήμερα, ενημερώνονται οι ιδιοκτήτες σχετικά με την υποχρέωσή τους να προσκομίσουν τα σχετικά δικαιολογητικά (ιατρική γνωμάτευση ή και αντιστοίχιση της πάθησης) έως 29/9/2023, προκειμένου να μην οφείλονται τέλη κυκλοφορίας έτους 2023. Η ενημέρωση διενεργείται κατ’ αρχήν με αποστολή μηνύματος ηλεκτρονικού ταχυδρομείου κεντρικά και με κοινοποίηση στην προσωποποιημένη πληροφόρηση στην εφαρμογή «e- κοινοποιήσεις» στην πλατφόρμα myAADE ή μέσω συστημένων επιστολών από τη Δ.Ο.Υ. σε περίπτωση μη ύπαρξης ηλεκτρονικού ταχυδρομείου. Υπενθυμίζεται ότι, εφόσον τα εν λόγω πρόσωπα δεν προσέλθουν για έλεγχο, ή μετά τον έλεγχο της Δ.Ο.Υ. διαπιστωθεί ότι δεν δικαιούνται την απαλλαγή, επιβάλλονται για το 2023 τα τέλη κυκλοφορίας χωρίς το πρόστιμο, εφόσον η πληρωμή διενεργηθεί εντός του έτους.</w:t>
      </w:r>
    </w:p>
    <w:p>
      <w:pPr>
        <w:spacing w:before="240" w:after="240"/>
        <w:rPr>
          <w:lang w:val="el" w:eastAsia="el"/>
        </w:rPr>
      </w:pPr>
      <w:r>
        <w:rPr>
          <w:b/>
          <w:bCs/>
          <w:lang w:val="el" w:eastAsia="el"/>
        </w:rPr>
        <w:t>Ο ΔΙΟΙΚΗΤΗΣ ΤΗΣ ΑΑΔΕΓΕΩΡΓΙΟΣ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I.ΑΠΟΔΕΚΤΕΣ ΠΡΟΣ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II.ΑΠΟΔΕΚΤΕΣ ΓΙΑ ΚΟΙΝΟΠΟΙΗΣΗ:</w:t>
      </w:r>
    </w:p>
    <w:p>
      <w:pPr>
        <w:spacing w:before="240" w:after="240"/>
        <w:rPr>
          <w:lang w:val="el" w:eastAsia="el"/>
        </w:rPr>
      </w:pPr>
      <w:r>
        <w:rPr>
          <w:lang w:val="el" w:eastAsia="el"/>
        </w:rPr>
        <w:t xml:space="preserve">1 </w:t>
      </w:r>
      <w:r>
        <w:rPr>
          <w:b/>
          <w:bCs/>
          <w:lang w:val="el" w:eastAsia="el"/>
        </w:rPr>
        <w:t>.Αποδέκτες Πίνακα Α΄ (πλην των αποδεκτών προς ενέργεια και εσωτερικής διανομής)</w:t>
      </w:r>
    </w:p>
    <w:p>
      <w:pPr>
        <w:spacing w:before="240" w:after="240"/>
        <w:rPr>
          <w:lang w:val="el" w:eastAsia="el"/>
        </w:rPr>
      </w:pPr>
      <w:r>
        <w:rPr>
          <w:lang w:val="el" w:eastAsia="el"/>
        </w:rPr>
        <w:t xml:space="preserve">2 </w:t>
      </w:r>
      <w:r>
        <w:rPr>
          <w:b/>
          <w:bCs/>
          <w:lang w:val="el" w:eastAsia="el"/>
        </w:rPr>
        <w:t>.Γενική Διεύθυνση Τελωνείων και Ειδικών Φόρων Κατανάλωσης</w:t>
      </w:r>
    </w:p>
    <w:p>
      <w:pPr>
        <w:spacing w:before="240" w:after="240"/>
        <w:rPr>
          <w:lang w:val="el" w:eastAsia="el"/>
        </w:rPr>
      </w:pPr>
      <w:r>
        <w:rPr>
          <w:lang w:val="el" w:eastAsia="el"/>
        </w:rPr>
        <w:t xml:space="preserve">3 </w:t>
      </w:r>
      <w:r>
        <w:rPr>
          <w:b/>
          <w:bCs/>
          <w:lang w:val="el" w:eastAsia="el"/>
        </w:rPr>
        <w:t>. Αποδέκτες Πίνακα Δ΄</w:t>
      </w:r>
    </w:p>
    <w:p>
      <w:pPr>
        <w:spacing w:before="240" w:after="240"/>
        <w:rPr>
          <w:lang w:val="el" w:eastAsia="el"/>
        </w:rPr>
      </w:pPr>
      <w:r>
        <w:rPr>
          <w:lang w:val="el" w:eastAsia="el"/>
        </w:rPr>
        <w:t xml:space="preserve">4 </w:t>
      </w:r>
      <w:r>
        <w:rPr>
          <w:b/>
          <w:bCs/>
          <w:lang w:val="el" w:eastAsia="el"/>
        </w:rPr>
        <w:t>.Γραφείο Υπουργού Οικονομικών</w:t>
      </w:r>
    </w:p>
    <w:p>
      <w:pPr>
        <w:spacing w:before="240" w:after="240"/>
        <w:rPr>
          <w:lang w:val="el" w:eastAsia="el"/>
        </w:rPr>
      </w:pPr>
      <w:r>
        <w:rPr>
          <w:lang w:val="el" w:eastAsia="el"/>
        </w:rPr>
        <w:t xml:space="preserve">5 </w:t>
      </w:r>
      <w:r>
        <w:rPr>
          <w:b/>
          <w:bCs/>
          <w:lang w:val="el" w:eastAsia="el"/>
        </w:rPr>
        <w:t>.Γραφείο Υφυπουργού Οικονομικών κ. Χ.Θεοχάρη</w:t>
      </w:r>
    </w:p>
    <w:p>
      <w:pPr>
        <w:spacing w:before="240" w:after="240"/>
        <w:rPr>
          <w:lang w:val="el" w:eastAsia="el"/>
        </w:rPr>
      </w:pPr>
      <w:r>
        <w:rPr>
          <w:lang w:val="el" w:eastAsia="el"/>
        </w:rPr>
        <w:t xml:space="preserve">6 </w:t>
      </w:r>
      <w:r>
        <w:rPr>
          <w:b/>
          <w:bCs/>
          <w:lang w:val="el" w:eastAsia="el"/>
        </w:rPr>
        <w:t>.Υπουργείο Εργασίας και Κοινωνικής Ασφάλισης</w:t>
      </w:r>
    </w:p>
    <w:p>
      <w:pPr>
        <w:spacing w:before="240" w:after="240"/>
        <w:rPr>
          <w:lang w:val="el" w:eastAsia="el"/>
        </w:rPr>
      </w:pPr>
      <w:r>
        <w:rPr>
          <w:b/>
          <w:bCs/>
          <w:lang w:val="el" w:eastAsia="el"/>
        </w:rPr>
        <w:t>α. Γραφείο Υπουργού</w:t>
      </w:r>
    </w:p>
    <w:p>
      <w:pPr>
        <w:spacing w:before="240" w:after="240"/>
        <w:rPr>
          <w:lang w:val="el" w:eastAsia="el"/>
        </w:rPr>
      </w:pPr>
      <w:r>
        <w:rPr>
          <w:b/>
          <w:bCs/>
          <w:lang w:val="el" w:eastAsia="el"/>
        </w:rPr>
        <w:t>β. Γραφείο Υφυπουργού</w:t>
      </w:r>
    </w:p>
    <w:p>
      <w:pPr>
        <w:spacing w:before="240" w:after="240"/>
        <w:rPr>
          <w:lang w:val="el" w:eastAsia="el"/>
        </w:rPr>
      </w:pPr>
      <w:r>
        <w:rPr>
          <w:b/>
          <w:bCs/>
          <w:lang w:val="el" w:eastAsia="el"/>
        </w:rPr>
        <w:t>γ. Γραφείο Γενικής Γραμματείας Κοινωνικών Ασφαλίσεων</w:t>
      </w:r>
    </w:p>
    <w:p>
      <w:pPr>
        <w:spacing w:before="240" w:after="240"/>
        <w:rPr>
          <w:lang w:val="el" w:eastAsia="el"/>
        </w:rPr>
      </w:pPr>
      <w:r>
        <w:rPr>
          <w:lang w:val="el" w:eastAsia="el"/>
        </w:rPr>
        <w:t xml:space="preserve">7 </w:t>
      </w:r>
      <w:r>
        <w:rPr>
          <w:b/>
          <w:bCs/>
          <w:lang w:val="el" w:eastAsia="el"/>
        </w:rPr>
        <w:t>. Ενιαίος Φορέας Κοινωνικής Ασφάλισης (ΕΦΚΑ)</w:t>
      </w:r>
    </w:p>
    <w:p>
      <w:pPr>
        <w:spacing w:before="240" w:after="240"/>
        <w:rPr>
          <w:lang w:val="el" w:eastAsia="el"/>
        </w:rPr>
      </w:pPr>
      <w:r>
        <w:rPr>
          <w:b/>
          <w:bCs/>
          <w:lang w:val="el" w:eastAsia="el"/>
        </w:rPr>
        <w:t>-Γραφείο Διοικητή</w:t>
      </w:r>
    </w:p>
    <w:p>
      <w:pPr>
        <w:spacing w:before="240" w:after="240"/>
        <w:rPr>
          <w:lang w:val="el" w:eastAsia="el"/>
        </w:rPr>
      </w:pPr>
      <w:r>
        <w:rPr>
          <w:b/>
          <w:bCs/>
          <w:lang w:val="el" w:eastAsia="el"/>
        </w:rPr>
        <w:t>-Γραφείο Υποδιοικητή</w:t>
      </w:r>
    </w:p>
    <w:p>
      <w:pPr>
        <w:spacing w:before="240" w:after="240"/>
        <w:rPr>
          <w:lang w:val="el" w:eastAsia="el"/>
        </w:rPr>
      </w:pPr>
      <w:r>
        <w:rPr>
          <w:b/>
          <w:bCs/>
          <w:lang w:val="el" w:eastAsia="el"/>
        </w:rPr>
        <w:t>-Γενική Δ/νση καταβολής παροχών Υγείας/Δ/νση Ιατρικής Αξιολόγησης ΕΦΚΑ/Τμήμα Ιατρικής Εργασίας και Υποστήριξης Υγειονομικών Επιτροπών Υπόψη κ. Μ. Θεοδωράκη</w:t>
      </w:r>
    </w:p>
    <w:p>
      <w:pPr>
        <w:spacing w:before="240" w:after="240"/>
        <w:rPr>
          <w:lang w:val="el" w:eastAsia="el"/>
        </w:rPr>
      </w:pPr>
      <w:r>
        <w:rPr>
          <w:lang w:val="el" w:eastAsia="el"/>
        </w:rPr>
        <w:t xml:space="preserve">8 </w:t>
      </w:r>
      <w:r>
        <w:rPr>
          <w:b/>
          <w:bCs/>
          <w:lang w:val="el" w:eastAsia="el"/>
        </w:rPr>
        <w:t>. Ανωτάτη Στρατιωτική Υγειονομική Επιτροπή (Α.Σ.Υ.Ε)</w:t>
      </w:r>
    </w:p>
    <w:p>
      <w:pPr>
        <w:spacing w:before="240" w:after="240"/>
        <w:rPr>
          <w:lang w:val="el" w:eastAsia="el"/>
        </w:rPr>
      </w:pPr>
      <w:r>
        <w:rPr>
          <w:lang w:val="el" w:eastAsia="el"/>
        </w:rPr>
        <w:t xml:space="preserve">9 </w:t>
      </w:r>
      <w:r>
        <w:rPr>
          <w:b/>
          <w:bCs/>
          <w:lang w:val="el" w:eastAsia="el"/>
        </w:rPr>
        <w:t>. Εθνική Συνομοσπονδία Ατόμων με Αναπηρία (Ε.Σ.Α.μεΑ.)</w:t>
      </w:r>
    </w:p>
    <w:p>
      <w:pPr>
        <w:spacing w:before="240" w:after="240"/>
        <w:rPr>
          <w:lang w:val="el" w:eastAsia="el"/>
        </w:rPr>
      </w:pPr>
      <w:r>
        <w:rPr>
          <w:lang w:val="el" w:eastAsia="el"/>
        </w:rPr>
        <w:t xml:space="preserve">10 </w:t>
      </w:r>
      <w:r>
        <w:rPr>
          <w:b/>
          <w:bCs/>
          <w:lang w:val="el" w:eastAsia="el"/>
        </w:rPr>
        <w:t>.Γραφείο Γενικής Γραμματέως Φορολογικής Πολιτικής και Δημόσιας Περιουσίας</w:t>
      </w:r>
    </w:p>
    <w:p>
      <w:pPr>
        <w:spacing w:before="240" w:after="240"/>
        <w:rPr>
          <w:lang w:val="el" w:eastAsia="el"/>
        </w:rPr>
      </w:pPr>
      <w:r>
        <w:rPr>
          <w:lang w:val="el" w:eastAsia="el"/>
        </w:rPr>
        <w:t xml:space="preserve">11 </w:t>
      </w:r>
      <w:r>
        <w:rPr>
          <w:b/>
          <w:bCs/>
          <w:lang w:val="el" w:eastAsia="el"/>
        </w:rPr>
        <w:t>.Γραφείο Τύπου και Δημοσίων Σχέσεων</w:t>
      </w:r>
    </w:p>
    <w:p>
      <w:pPr>
        <w:spacing w:before="240" w:after="240"/>
        <w:rPr>
          <w:lang w:val="el" w:eastAsia="el"/>
        </w:rPr>
      </w:pPr>
      <w:r>
        <w:rPr>
          <w:lang w:val="el" w:eastAsia="el"/>
        </w:rPr>
        <w:t xml:space="preserve">12 </w:t>
      </w:r>
      <w:r>
        <w:rPr>
          <w:b/>
          <w:bCs/>
          <w:lang w:val="el" w:eastAsia="el"/>
        </w:rPr>
        <w:t>.Περιοδικό Φορολογική Επιθεώρηση»</w:t>
      </w:r>
    </w:p>
    <w:p>
      <w:pPr>
        <w:spacing w:before="240" w:after="240"/>
        <w:rPr>
          <w:lang w:val="el" w:eastAsia="el"/>
        </w:rPr>
      </w:pPr>
      <w:r>
        <w:rPr>
          <w:b/>
          <w:bCs/>
          <w:lang w:val="el" w:eastAsia="el"/>
        </w:rPr>
        <w:t>III.ΕΣΩΤΕΡΙΚΗ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 Διευθυντή Φορολογίας</w:t>
      </w:r>
    </w:p>
    <w:p>
      <w:pPr>
        <w:spacing w:before="240" w:after="240"/>
        <w:rPr>
          <w:lang w:val="el" w:eastAsia="el"/>
        </w:rPr>
      </w:pPr>
      <w:r>
        <w:rPr>
          <w:lang w:val="el" w:eastAsia="el"/>
        </w:rPr>
        <w:t xml:space="preserve">3. </w:t>
      </w:r>
      <w:r>
        <w:rPr>
          <w:b/>
          <w:bCs/>
          <w:lang w:val="el" w:eastAsia="el"/>
        </w:rPr>
        <w:t>Γενική Δ/νση Ηλεκτρονικής Διακυβέρνησης ΑΑΔΕ</w:t>
      </w:r>
    </w:p>
    <w:p>
      <w:pPr>
        <w:spacing w:before="240" w:after="240"/>
        <w:rPr>
          <w:lang w:val="el" w:eastAsia="el"/>
        </w:rPr>
      </w:pPr>
      <w:r>
        <w:rPr>
          <w:lang w:val="el" w:eastAsia="el"/>
        </w:rPr>
        <w:t xml:space="preserve">4. </w:t>
      </w:r>
      <w:r>
        <w:rPr>
          <w:b/>
          <w:bCs/>
          <w:lang w:val="el" w:eastAsia="el"/>
        </w:rPr>
        <w:t>Δ/νση Νομικής Υποστήριξης ΑΑΔΕ</w:t>
      </w:r>
    </w:p>
    <w:p>
      <w:pPr>
        <w:spacing w:before="240" w:after="240"/>
        <w:rPr>
          <w:lang w:val="el" w:eastAsia="el"/>
        </w:rPr>
      </w:pPr>
      <w:r>
        <w:rPr>
          <w:lang w:val="el" w:eastAsia="el"/>
        </w:rPr>
        <w:t xml:space="preserve">5. </w:t>
      </w:r>
      <w:r>
        <w:rPr>
          <w:b/>
          <w:bCs/>
          <w:lang w:val="el" w:eastAsia="el"/>
        </w:rPr>
        <w:t>Όλες οι Φορολογικές Περιφέρειες</w:t>
      </w:r>
    </w:p>
    <w:p>
      <w:pPr>
        <w:spacing w:before="240" w:after="240"/>
        <w:rPr>
          <w:lang w:val="el" w:eastAsia="el"/>
        </w:rPr>
      </w:pPr>
      <w:r>
        <w:rPr>
          <w:lang w:val="el" w:eastAsia="el"/>
        </w:rPr>
        <w:t xml:space="preserve">6. </w:t>
      </w:r>
      <w:r>
        <w:rPr>
          <w:b/>
          <w:bCs/>
          <w:lang w:val="el" w:eastAsia="el"/>
        </w:rPr>
        <w:t>Ηλεκτρονική βιβλιοθήκη ΑΑΔΕ</w:t>
      </w:r>
    </w:p>
    <w:p>
      <w:pPr>
        <w:spacing w:before="240" w:after="240"/>
        <w:rPr>
          <w:lang w:val="el" w:eastAsia="el"/>
        </w:rPr>
      </w:pPr>
      <w:r>
        <w:rPr>
          <w:lang w:val="el" w:eastAsia="el"/>
        </w:rPr>
        <w:t xml:space="preserve">7. </w:t>
      </w:r>
      <w:r>
        <w:rPr>
          <w:b/>
          <w:bCs/>
          <w:lang w:val="el" w:eastAsia="el"/>
        </w:rPr>
        <w:t>Δ/νση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