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 ΔΙΕΥΘΥΝΣΗ ΕΛΕΓΚΤΙΚΩΝ ΔΙΑΔΙΚΑΣΙΩΝ ΤΜΗΜΑ Α΄</w:t>
      </w:r>
    </w:p>
    <w:p>
      <w:pPr>
        <w:spacing w:before="240" w:after="240"/>
        <w:rPr>
          <w:lang w:val="el" w:eastAsia="el"/>
        </w:rPr>
      </w:pPr>
      <w:r>
        <w:rPr>
          <w:b/>
          <w:bCs/>
          <w:lang w:val="el" w:eastAsia="el"/>
        </w:rPr>
        <w:t>Ταχ. Δ/νση : Χανδρή 1 και Θεσσαλονίκης</w:t>
      </w:r>
    </w:p>
    <w:p>
      <w:pPr>
        <w:spacing w:before="240" w:after="240"/>
        <w:rPr>
          <w:lang w:val="el" w:eastAsia="el"/>
        </w:rPr>
      </w:pPr>
      <w:r>
        <w:rPr>
          <w:b/>
          <w:bCs/>
          <w:lang w:val="el" w:eastAsia="el"/>
        </w:rPr>
        <w:t>Ταχ. Κώδ. : 18346, Μοσχάτο</w:t>
      </w:r>
    </w:p>
    <w:p>
      <w:pPr>
        <w:spacing w:before="240" w:after="240"/>
        <w:rPr>
          <w:lang w:val="el" w:eastAsia="el"/>
        </w:rPr>
      </w:pPr>
      <w:r>
        <w:rPr>
          <w:b/>
          <w:bCs/>
          <w:lang w:val="el" w:eastAsia="el"/>
        </w:rPr>
        <w:t>Τηλέφωνο : 210-4802648, 210-4802621,</w:t>
      </w:r>
    </w:p>
    <w:p>
      <w:pPr>
        <w:spacing w:before="240" w:after="240"/>
        <w:rPr>
          <w:lang w:val="el" w:eastAsia="el"/>
        </w:rPr>
      </w:pPr>
      <w:r>
        <w:rPr>
          <w:b/>
          <w:bCs/>
          <w:lang w:val="el" w:eastAsia="el"/>
        </w:rPr>
        <w:t>210-4802154</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dieldi@aade.gr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διευκρινίσεων για την εφαρμογή των διατάξεων του άρθρου 54ΣΤ του ν.4987/2022 (Α΄206) (ΚΦΔ) αναφορικά με την επιβολή κυρώσεων σε περίπτωση διαπίστωσης παραβάσεων παραβίασης ή παραποίησης ή επέμβασης στη λειτουργία των φορολογικών ηλεκτρονικών μηχανισμών (ΦΗΜ).»</w:t>
      </w:r>
    </w:p>
    <w:p>
      <w:pPr>
        <w:spacing w:before="240" w:after="240"/>
        <w:rPr>
          <w:lang w:val="el" w:eastAsia="el"/>
        </w:rPr>
      </w:pPr>
      <w:r>
        <w:rPr>
          <w:b/>
          <w:bCs/>
          <w:lang w:val="el" w:eastAsia="el"/>
        </w:rPr>
        <w:t>ΣΧΕΤ: Η υπ’αριθ. Ε.2180/2021 εγκύκλιος.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εφαρμογή των διατάξεων του άρθρου 54 ΣΤ του ν.4987/2022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την εφαρμογή των διατάξεων του άρθρου 54ΣΤ (ΚΦΔ) αναφορικά με την επιβολή κυρώσεων α) σε περίπτωση διαπίστωσης παραβάσεων παραβίασης ή παραποίησης ή επέμβασης στη λειτουργία των φορολογικών ηλεκτρονικών μηχανισμών (ΦΗΜ),</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έκδοσης στοιχείων λιανικής πώλησης από ΦΗΜ που λειτουργεί με μη εγκεκριμένες προδιαγραφές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 </w:t>
      </w:r>
      <w:r>
        <w:rPr>
          <w:b/>
          <w:bCs/>
          <w:lang w:val="el" w:eastAsia="el"/>
        </w:rPr>
        <w:t>Κάτοχοι-χρήστες ΦΗΜ.</w:t>
      </w:r>
    </w:p>
    <w:p>
      <w:pPr>
        <w:spacing w:before="240" w:after="240"/>
        <w:rPr>
          <w:lang w:val="el" w:eastAsia="el"/>
        </w:rPr>
      </w:pPr>
      <w:r>
        <w:rPr>
          <w:b/>
          <w:bCs/>
          <w:lang w:val="el" w:eastAsia="el"/>
        </w:rPr>
        <w:t xml:space="preserve">• </w:t>
      </w:r>
      <w:r>
        <w:rPr>
          <w:b/>
          <w:bCs/>
          <w:lang w:val="el" w:eastAsia="el"/>
        </w:rPr>
        <w:t>Επιχειρήσεις που έχουν λάβει έγκριση λογισμικού και υλισμικού, επιχειρήσεις μεταπώλησης λογισμικού και επιχειρήσεις παροχής τεχνικής υποστήριξης.</w:t>
      </w:r>
    </w:p>
    <w:p>
      <w:pPr>
        <w:spacing w:before="240" w:after="240"/>
        <w:rPr>
          <w:lang w:val="el" w:eastAsia="el"/>
        </w:rPr>
      </w:pPr>
      <w:r>
        <w:rPr>
          <w:b/>
          <w:bCs/>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Σε συνέχεια της υπ’ αριθ. Ε.2180/2021 εγκυκλίου, αναφορικά με ζητήματα εφαρμογής των διατάξεων του άρθρου 54ΣΤ ΚΦΔ διευκρινίζουμε τα ακόλουθα:</w:t>
      </w:r>
    </w:p>
    <w:p>
      <w:pPr>
        <w:spacing w:before="240" w:after="240"/>
        <w:rPr>
          <w:lang w:val="el" w:eastAsia="el"/>
        </w:rPr>
      </w:pPr>
      <w:r>
        <w:rPr>
          <w:b/>
          <w:bCs/>
          <w:lang w:val="el" w:eastAsia="el"/>
        </w:rPr>
        <w:t>Α. Για παραβάσεις παραβίασης ή παραποίησης ή επέμβασης στη λειτουργία των ΦΗΜ</w:t>
      </w:r>
    </w:p>
    <w:p>
      <w:pPr>
        <w:spacing w:before="240" w:after="240"/>
        <w:rPr>
          <w:lang w:val="el" w:eastAsia="el"/>
        </w:rPr>
      </w:pPr>
      <w:r>
        <w:rPr>
          <w:b/>
          <w:bCs/>
          <w:lang w:val="el" w:eastAsia="el"/>
        </w:rPr>
        <w:t xml:space="preserve">1. </w:t>
      </w:r>
      <w:r>
        <w:rPr>
          <w:b/>
          <w:bCs/>
          <w:lang w:val="el" w:eastAsia="el"/>
        </w:rPr>
        <w:t>Με τις διατάξεις της παρ. 1 του άρθρου 54ΣΤ του ΚΦΔ, ορίζεται ότι: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 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 χωρίς να εφαρμόζονται τα ανώτατα όρια της ίδιας ως άνω περίπτωσης. Το πρόστιμο αυτό ορίζεται σε δεκαπέντε τοις εκατό (15%) επί των εσόδων από επιχειρηματική δραστηριότητα του ελεγχόμενου φυσικού ή νομικού προσώπου ή οντότητας, όπως αυτά προκύπτουν από τον μέσο όρο των δηλωθέντων εσόδων με τις δηλώσεις φορολογίας εισοδήματος των τριών (3) τελευταίων φορολογικών ετών. Το εν λόγω πρόστιμο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spacing w:before="240" w:after="240"/>
        <w:rPr>
          <w:lang w:val="el" w:eastAsia="el"/>
        </w:rPr>
      </w:pPr>
      <w:r>
        <w:rPr>
          <w:b/>
          <w:bCs/>
          <w:lang w:val="el" w:eastAsia="el"/>
        </w:rPr>
        <w:t xml:space="preserve">2. </w:t>
      </w:r>
      <w:r>
        <w:rPr>
          <w:b/>
          <w:bCs/>
          <w:lang w:val="el" w:eastAsia="el"/>
        </w:rPr>
        <w:t>Με την παρούσα διευκρινίζεται ότι κάθε ΦΗΜ, ανεξαρτήτως είδους και τύπου, θεωρείται πάντοτε ως ενιαίο λειτουργικό σύνολο με λοιπά μέρη που ενδέχεται να διασυνδέονται εξωτερικά, μέσω κατάλληλων καναλιών επικοινωνίας με σκοπό την ορθή έκδοση των παραστατικών.</w:t>
      </w:r>
    </w:p>
    <w:p>
      <w:pPr>
        <w:spacing w:before="240" w:after="240"/>
        <w:rPr>
          <w:lang w:val="el" w:eastAsia="el"/>
        </w:rPr>
      </w:pPr>
      <w:r>
        <w:rPr>
          <w:b/>
          <w:bCs/>
          <w:lang w:val="el" w:eastAsia="el"/>
        </w:rPr>
        <w:t>Ιδιαίτερα ως προς την περίπτωση χρήσης Ειδικής Ασφαλούς Φορολογικής Διάταξης Σήμανσης Στοιχείων (ΕΑΦΔΣΣ) διευκρινίζεται ότι ο εν λόγω μηχανισμός επικοινωνεί με ηλεκτρονικό υπολογιστή στον οποίο είναι εγκατεστημένο το μηχανογραφικό πρόγραμμα έκδοσης αποδείξεων. Στη συνέχεια, ο ηλεκτρονικός υπολογιστής συνδέεται ενσύρματα ή ασύρματα με τον εκτυπωτή από τον οποίο γίνεται η εκτύπωση των παραστατικών πωλήσεων σε αντίθεση με τους λοιπούς ΦΗΜ όπου ο εκτυπωτής βρίσκεται ενσωματωμένος εντός της συσκευής ΦΗΜ. Περαιτέρω, τα αρχεία a.txt, b.txt, e.txt, c.txt, d.txt, s.txt, που παράγει η ΕΑΦΔΣΣ φυλάσσονται σε αποθηκευτικό χώρο του διασυνδεδεμένου ηλεκτρονικού υπολογιστή. Επιπλέον, το λογισμικό υποστήριξης της ΕΑΦΔΣΣ (driver) βρίσκεται στον διασυνδεδεμένο υπολογιστή και αποτελεί μέρος της ΕΑΦΔΣΣ και της έγκρισής της. Συνεπώς, η ΕΑΦΔΣΣ, το λογισμικό υποστήριξης της ΕΑΦΔΣΣ (driver), το πρόγραμμα έκδοσης αποδείξεων που είναι εγκατεστημένο στον Η/Υ, καθώς και η συνεργαζόμενη εκτυπωτική συσκευή, αποτελούν ενιαίο λειτουργικό σύνολο, με απώτερο σκοπό δια της Ειδικής Ασφαλούς Φορολογικής Διάταξης Σήμανσης Στοιχείων (ΕΑΦΔΣΣ), η οποία λειτουργεί με συγκεκριμένες προδιαγραφές, σύμφωνα με τις οποίες εξάλλου έλαβε έγκριση, να επιτυγχάνεται η ορθή και σύννομη έκδοση παραστατικών, με βάση τις διατάξεις των άρθρων 12 και 15 του ν.4308/2014 (Α΄251).</w:t>
      </w:r>
    </w:p>
    <w:p>
      <w:pPr>
        <w:spacing w:before="240" w:after="240"/>
        <w:rPr>
          <w:lang w:val="el" w:eastAsia="el"/>
        </w:rPr>
      </w:pPr>
      <w:r>
        <w:rPr>
          <w:b/>
          <w:bCs/>
          <w:lang w:val="el" w:eastAsia="el"/>
        </w:rPr>
        <w:t xml:space="preserve">3. </w:t>
      </w:r>
      <w:r>
        <w:rPr>
          <w:b/>
          <w:bCs/>
          <w:lang w:val="el" w:eastAsia="el"/>
        </w:rPr>
        <w:t>Παραβίαση ή παραποίηση ή επέμβαση με οποιονδήποτε τρόπο στη λειτουργία των ΦΗΜ στοιχειοθετείται όταν λαμβάνουν, κατά περίπτωση, χώρα τα ακόλουθα:</w:t>
      </w:r>
    </w:p>
    <w:p>
      <w:pPr>
        <w:spacing w:before="240" w:after="240"/>
        <w:rPr>
          <w:lang w:val="el" w:eastAsia="el"/>
        </w:rPr>
      </w:pPr>
      <w:r>
        <w:rPr>
          <w:b/>
          <w:bCs/>
          <w:lang w:val="el" w:eastAsia="el"/>
        </w:rPr>
        <w:t>α. Παραβίαση του ΦΗΜ συνιστά:</w:t>
      </w:r>
    </w:p>
    <w:p>
      <w:pPr>
        <w:spacing w:before="240" w:after="240"/>
        <w:rPr>
          <w:lang w:val="el" w:eastAsia="el"/>
        </w:rPr>
      </w:pPr>
      <w:r>
        <w:rPr>
          <w:b/>
          <w:bCs/>
          <w:lang w:val="el" w:eastAsia="el"/>
        </w:rPr>
        <w:t>(αα) Η παραβίαση της σφραγίδας της κεφαλής της βίδας ασφαλείας και η παρέμβαση στο υλικό του ΦΗΜ (hardware) ή στον μικροκώδικα (firmware) του ΦΗΜ.</w:t>
      </w:r>
    </w:p>
    <w:p>
      <w:pPr>
        <w:spacing w:before="240" w:after="240"/>
        <w:rPr>
          <w:lang w:val="el" w:eastAsia="el"/>
        </w:rPr>
      </w:pPr>
      <w:r>
        <w:rPr>
          <w:b/>
          <w:bCs/>
          <w:lang w:val="el" w:eastAsia="el"/>
        </w:rPr>
        <w:t>(αβ) Σε περίπτωση χρήσης ΕΑΦΔΣΣ, παραβίαση συνιστά και η τροποποίηση του λογισμικού υποστήριξης (driver) που βρίσκεται εγκατεστημένο στον ηλεκτρονικό υπολογιστή και είναι υπεύθυνο για την επικοινωνία ΕΑΦΔΣΣ με τον ηλεκτρονικό υπολογιστή.</w:t>
      </w:r>
    </w:p>
    <w:p>
      <w:pPr>
        <w:spacing w:before="240" w:after="240"/>
        <w:rPr>
          <w:lang w:val="el" w:eastAsia="el"/>
        </w:rPr>
      </w:pPr>
      <w:r>
        <w:rPr>
          <w:b/>
          <w:bCs/>
          <w:lang w:val="el" w:eastAsia="el"/>
        </w:rPr>
        <w:t>β. Παραποίηση των αρχείων ΦΗΜ συνιστά η αλλοίωσή τους, δεδομένου ότι η έννοια της παραποίησης σχετίζεται αποκλειστικά με τα παραγόμενα από τους ΦΗΜ αρχεία (a.txt, b.txt, e.txt, c.txt, d.txt, s.txt).</w:t>
      </w:r>
    </w:p>
    <w:p>
      <w:pPr>
        <w:spacing w:before="240" w:after="240"/>
        <w:rPr>
          <w:lang w:val="el" w:eastAsia="el"/>
        </w:rPr>
      </w:pPr>
      <w:r>
        <w:rPr>
          <w:b/>
          <w:bCs/>
          <w:lang w:val="el" w:eastAsia="el"/>
        </w:rPr>
        <w:t>γ. Επέμβαση στη λειτουργία του ΦΗΜ με οποιοδήποτε τρόπο συνιστά η κάθε παρεμβολή ή παρέμβαση στην λειτουργία του που διασπά τη σχετική ενότητα και διακόπτει την αλληλουχία τεκμηρίωσης του εκδοθέντος παραστατικού. Επέμβαση στη λειτουργία του ΦΗΜ με οποιοδήποτε τρόπο συνιστά, επίσης, και η κάθε είδους παράκαμψη αυτού. Ειδικότερα, τα παραπάνω σχετίζονται με τη λειτουργία του ΦΗΜ ως ενιαίου λειτουργικού συνόλου που διασφαλίζει την ακεραιότητα του περιεχομένου του παραστατικού, από τη στιγμή της έκδοσής του έως και την λήξη της περιόδου φύλαξής του. Δεδομένης της πληθώρας των σχετικών περιπτώσεων αναφέρουμε ενδεικτικά ορισμένες:</w:t>
      </w:r>
    </w:p>
    <w:p>
      <w:pPr>
        <w:spacing w:before="240" w:after="240"/>
        <w:rPr>
          <w:lang w:val="el" w:eastAsia="el"/>
        </w:rPr>
      </w:pPr>
      <w:r>
        <w:rPr>
          <w:b/>
          <w:bCs/>
          <w:lang w:val="el" w:eastAsia="el"/>
        </w:rPr>
        <w:t>(γα) Η διαπίστωση χρήσης είτε παράνομου λογισμικού είτε λοιπών άλλων μέσων με αποτέλεσμα την εκ των υστέρων διαγραφή των προαναφερόμενων αρχείων που παράγει ο ΦΗΜ και τα οποία είναι αποθηκευμένα είτε στην εσωτερική μνήμη στην περίπτωση χρήσης ΦΤΜ και ΑΔΗΜΕ είτε σε αποθηκευτικό χώρο του διασυνδεδεμένου ηλεκτρονικού υπολογιστή στην περίπτωση χρήσης ΕΑΦΔΣΣ., συνιστά επέμβαση στη λειτουργία του ΦΗΜ.</w:t>
      </w:r>
    </w:p>
    <w:p>
      <w:pPr>
        <w:spacing w:before="240" w:after="240"/>
        <w:rPr>
          <w:lang w:val="el" w:eastAsia="el"/>
        </w:rPr>
      </w:pPr>
      <w:r>
        <w:rPr>
          <w:b/>
          <w:bCs/>
          <w:lang w:val="el" w:eastAsia="el"/>
        </w:rPr>
        <w:t>(γβ) Σε περίπτωση χρήσης ΕΑΦΔΣΣ, κατά τη διαδικασία έκδοσης παραστατικού, αυτό αποστέλλεται στο λογισμικό υποστήριξης της ΕΑΦΔΣΣ (driver), προκειμένου να σημανθεί, ωστόσο:</w:t>
      </w:r>
    </w:p>
    <w:p>
      <w:pPr>
        <w:spacing w:before="240" w:after="240"/>
        <w:rPr>
          <w:lang w:val="el" w:eastAsia="el"/>
        </w:rPr>
      </w:pPr>
      <w:r>
        <w:rPr>
          <w:b/>
          <w:bCs/>
          <w:lang w:val="el" w:eastAsia="el"/>
        </w:rPr>
        <w:t xml:space="preserve">i. </w:t>
      </w:r>
      <w:r>
        <w:rPr>
          <w:b/>
          <w:bCs/>
          <w:lang w:val="el" w:eastAsia="el"/>
        </w:rPr>
        <w:t>Σε περίπτωση που εκδοθεί παραστατικό και τυπωθεί από την εκτυπωτική συσκευή χωρίς να έχει προηγηθεί η αποστολή του παραστατικού (a.txt) στην ΕΑΦΔΣΣ για σήμανση, το παραστατικό δεν λαμβάνει σήμανση, δηλαδή η ΕΑΦΔΣΣ παρακάμπτεται. Κατά συνέπεια, η έκδοση και η εκτύπωση παραστατικών (αποδείξεων λιανικών συναλλαγών) χωρίς τη δημιουργία αντίστοιχων αρχείων a.txt, b.txt, e.txt θεωρείται ως έκδοση φορολογικού στοιχείου με παράκαμψη της ΕΑΦΔΣΣ και δεδομένου ότι η ΕΑΦΔΣΣ, το λογισμικό υποστήριξης της ΕΑΦΔΣΣ (driver), το πρόγραμμα έκδοσης αποδείξεων που είναι εγκατεστημένο στον Η/Υ καθώς και η συνεργαζόμενη εκτυπωτική συσκευή, αποτελούν ενιαίο λειτουργικό σύνολο του ΦΗΜ η ως άνω παράβαση θεωρείται επέμβαση στη λειτουργία του ΦΗΜ.</w:t>
      </w:r>
    </w:p>
    <w:p>
      <w:pPr>
        <w:spacing w:before="240" w:after="240"/>
        <w:rPr>
          <w:lang w:val="el" w:eastAsia="el"/>
        </w:rPr>
      </w:pPr>
      <w:r>
        <w:rPr>
          <w:b/>
          <w:bCs/>
          <w:lang w:val="el" w:eastAsia="el"/>
        </w:rPr>
        <w:t xml:space="preserve">ii. </w:t>
      </w:r>
      <w:r>
        <w:rPr>
          <w:b/>
          <w:bCs/>
          <w:lang w:val="el" w:eastAsia="el"/>
        </w:rPr>
        <w:t>Σε περίπτωση αποστολής στο λογισμικό υποστήριξης της ΕΑΦΔΣΣ (driver) πανομοιότυπων παραστατικών με διαφορετικές ωστόσο αξίες (ήτοι, ένα από τα δύο παραστατικά φέρει απομειωμένες αξίες ή απομειωμένα πωληθέντα είδη) και εκ των οποίων μόνο το ένα (μειωμένης αξίας) φέρει τις προϋποθέσεις ανίχνευσης της συμβολοσειράς με αποτέλεσμα να δημιουργείται μεν Προηγμένη Ασφαλής Ηλεκτρονική Ψηφιακή Σύνοψη (ΠΑΗΨΣ), η οποία ωστόσο ενταμιεύεται και εν τέλει εκτυπώνεται στο παραστατικό κανονικής αξίας που λαμβάνει ο πελάτης μέσω της ίδιας ή και άλλης συνδεδεμένης εκτυπωτικής μονάδας, διασπάται η ενότητα λειτουργίας και η αλληλουχία τεκμηρίωσης του εκδιδόμενου παραστατικού και επομένως οι ως άνω παραβάσεις θεωρούνται ως επέμβαση στην λειτουργία του ΦΗΜ.</w:t>
      </w:r>
    </w:p>
    <w:p>
      <w:pPr>
        <w:spacing w:before="240" w:after="240"/>
        <w:rPr>
          <w:lang w:val="el" w:eastAsia="el"/>
        </w:rPr>
      </w:pPr>
      <w:r>
        <w:rPr>
          <w:b/>
          <w:bCs/>
          <w:lang w:val="el" w:eastAsia="el"/>
        </w:rPr>
        <w:t>Β. Παραβάσεις έκδοσης στοιχείων λιανικής πώλησης από Φ.Η.Μ. ο οποίος δεν λειτουργεί με εγκεκριμένες προδιαγραφές.</w:t>
      </w:r>
    </w:p>
    <w:p>
      <w:pPr>
        <w:spacing w:before="240" w:after="240"/>
        <w:rPr>
          <w:lang w:val="el" w:eastAsia="el"/>
        </w:rPr>
      </w:pPr>
      <w:r>
        <w:rPr>
          <w:b/>
          <w:bCs/>
          <w:lang w:val="el" w:eastAsia="el"/>
        </w:rPr>
        <w:t xml:space="preserve">4. </w:t>
      </w:r>
      <w:r>
        <w:rPr>
          <w:b/>
          <w:bCs/>
          <w:lang w:val="el" w:eastAsia="el"/>
        </w:rPr>
        <w:t>Με τις διατάξεις της περίπτωσης β΄της παρ. 1 του άρθρου 54ΣΤ του ΚΦΔ ορίζεται ότι 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 Το πρόστιμο της εν λόγω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w:t>
      </w:r>
    </w:p>
    <w:p>
      <w:pPr>
        <w:spacing w:before="240" w:after="240"/>
        <w:rPr>
          <w:lang w:val="el" w:eastAsia="el"/>
        </w:rPr>
      </w:pPr>
      <w:r>
        <w:rPr>
          <w:b/>
          <w:bCs/>
          <w:lang w:val="el" w:eastAsia="el"/>
        </w:rPr>
        <w:t>Στο Παράρτημα Α΄ του ν.4308/2014 (ΕΛΠ) διευκρινίζεται ότι με τον όρο «ακεραιότητα του περιεχομένου λογιστικού στοιχείου» νοείται ότι το περιεχόμενο ενός λογιστικού στοιχείου δεν έχει αλλοιωθεί σε σχέση με ότι απαιτείται από τον ως άνω νόμο ή με ότι καθορίσθηκε από τον εκδότη του ενώ με τον όρο «αυθεντικότητα προέλευσης λογιστικού στοιχείου» νοείται η διασφάλιση της ταυτότητας του προμηθευτή ή του εκδότη του τιμολογίου.</w:t>
      </w:r>
    </w:p>
    <w:p>
      <w:pPr>
        <w:spacing w:before="240" w:after="240"/>
        <w:rPr>
          <w:lang w:val="el" w:eastAsia="el"/>
        </w:rPr>
      </w:pPr>
      <w:r>
        <w:rPr>
          <w:b/>
          <w:bCs/>
          <w:lang w:val="el" w:eastAsia="el"/>
        </w:rPr>
        <w:t xml:space="preserve">5. </w:t>
      </w:r>
      <w:r>
        <w:rPr>
          <w:b/>
          <w:bCs/>
          <w:lang w:val="el" w:eastAsia="el"/>
        </w:rPr>
        <w:t>Δεδομένου ότι με το υπ’ αριθ. πρωτ. ΔΕΛ Β 1103271 ΕΞ 2015/30-7-2015 έγγραφό μας αναφορικά με την διαδικασία ελέγχου ΦΗΜ και της ακεραιότητας των εκδιδόμενων στοιχείων, έχει διευκρινιστεί ότι:</w:t>
      </w:r>
    </w:p>
    <w:p>
      <w:pPr>
        <w:spacing w:before="240" w:after="240"/>
        <w:rPr>
          <w:lang w:val="el" w:eastAsia="el"/>
        </w:rPr>
      </w:pPr>
      <w:r>
        <w:rPr>
          <w:b/>
          <w:bCs/>
          <w:lang w:val="el" w:eastAsia="el"/>
        </w:rPr>
        <w:t xml:space="preserve">i. </w:t>
      </w:r>
      <w:r>
        <w:rPr>
          <w:b/>
          <w:bCs/>
          <w:lang w:val="el" w:eastAsia="el"/>
        </w:rPr>
        <w:t>το περιεχόμενο του ηλεκτρονικού αρχείου της ΠΑΗΨΣ («…_ b.txt”) πρέπει να ταυτίζεται με τη Συμβολοσειρά Σήμανσης, η οποία αναγράφεται επί του ελεγχόμενου στοιχείου,</w:t>
      </w:r>
    </w:p>
    <w:p>
      <w:pPr>
        <w:spacing w:before="240" w:after="240"/>
        <w:rPr>
          <w:lang w:val="el" w:eastAsia="el"/>
        </w:rPr>
      </w:pPr>
      <w:r>
        <w:rPr>
          <w:b/>
          <w:bCs/>
          <w:lang w:val="el" w:eastAsia="el"/>
        </w:rPr>
        <w:t xml:space="preserve">ii. </w:t>
      </w:r>
      <w:r>
        <w:rPr>
          <w:b/>
          <w:bCs/>
          <w:lang w:val="el" w:eastAsia="el"/>
        </w:rPr>
        <w:t>το παραγόμενο αρχείο a.txt συγκρίνεται σε κάθε περίπτωση με το αντίστοιχο αρχείο e.txt και τα πεδία των δύο αρχείων πρέπει να ταυτίζονται, συνάγεται ότι η έκδοση και η εκτύπωση παραστατικών (αποδείξεων λιανικών συναλλαγών) χωρίς τη δημιουργία αντίστοιχων αρχείων a.txt, b.txt, e.txt καθιστά αδύνατες τις ως άνω συγκρίσεις και την διασφάλιση της ακεραιότητας των εκδιδόμενων στοιχείων και κατά συνέπεια επιβάλλονται οι κυρώσεις που προβλέπονται στα τρία πρώτα εδάφια της περ. α) της παρ. 1 του άρθρου 54Ε.</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Β΄</w:t>
      </w:r>
    </w:p>
    <w:p>
      <w:pPr>
        <w:spacing w:before="240" w:after="240"/>
        <w:rPr>
          <w:lang w:val="el" w:eastAsia="el"/>
        </w:rPr>
      </w:pPr>
      <w:r>
        <w:rPr>
          <w:b/>
          <w:bCs/>
          <w:lang w:val="el" w:eastAsia="el"/>
        </w:rPr>
        <w:t xml:space="preserve">2. </w:t>
      </w:r>
      <w:r>
        <w:rPr>
          <w:b/>
          <w:bCs/>
          <w:lang w:val="el" w:eastAsia="el"/>
        </w:rPr>
        <w:t>Αποδέκτες πίνακα Γ΄</w:t>
      </w:r>
    </w:p>
    <w:p>
      <w:pPr>
        <w:spacing w:before="240" w:after="240"/>
        <w:rPr>
          <w:lang w:val="el" w:eastAsia="el"/>
        </w:rPr>
      </w:pPr>
      <w:r>
        <w:rPr>
          <w:b/>
          <w:bCs/>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Προϊστάμενο της Γενικής Διεύθυνσης Φορολογίας</w:t>
      </w:r>
    </w:p>
    <w:p>
      <w:pPr>
        <w:spacing w:before="240" w:after="240"/>
        <w:rPr>
          <w:lang w:val="el" w:eastAsia="el"/>
        </w:rPr>
      </w:pPr>
      <w:r>
        <w:rPr>
          <w:b/>
          <w:bCs/>
          <w:lang w:val="el" w:eastAsia="el"/>
        </w:rPr>
        <w:t xml:space="preserve">3. </w:t>
      </w:r>
      <w:r>
        <w:rPr>
          <w:b/>
          <w:bCs/>
          <w:lang w:val="el" w:eastAsia="el"/>
        </w:rPr>
        <w:t>Προϊστάμενο της Γενικής Διεύθυνσης Ανθρώπινου Δυναμικού και Οργάνωσης</w:t>
      </w:r>
    </w:p>
    <w:p>
      <w:pPr>
        <w:spacing w:before="240" w:after="240"/>
        <w:rPr>
          <w:lang w:val="el" w:eastAsia="el"/>
        </w:rPr>
      </w:pPr>
      <w:r>
        <w:rPr>
          <w:b/>
          <w:bCs/>
          <w:lang w:val="el" w:eastAsia="el"/>
        </w:rPr>
        <w:t xml:space="preserve">4. </w:t>
      </w:r>
      <w:r>
        <w:rPr>
          <w:b/>
          <w:bCs/>
          <w:lang w:val="el" w:eastAsia="el"/>
        </w:rPr>
        <w:t>Δ/νση Νομικής Υποστήριξης (Δ.Ν.Υ.)</w:t>
      </w:r>
    </w:p>
    <w:p>
      <w:pPr>
        <w:spacing w:before="240" w:after="240"/>
        <w:rPr>
          <w:lang w:val="el" w:eastAsia="el"/>
        </w:rPr>
      </w:pPr>
      <w:r>
        <w:rPr>
          <w:b/>
          <w:bCs/>
          <w:lang w:val="el" w:eastAsia="el"/>
        </w:rPr>
        <w:t xml:space="preserve">5. </w:t>
      </w:r>
      <w:r>
        <w:rPr>
          <w:b/>
          <w:bCs/>
          <w:lang w:val="el" w:eastAsia="el"/>
        </w:rPr>
        <w:t>Διεύθυνση Επιχειρησιακού Σχεδιασμού Ελέγχων</w:t>
      </w:r>
    </w:p>
    <w:p>
      <w:pPr>
        <w:spacing w:before="240" w:after="240"/>
        <w:rPr>
          <w:lang w:val="el" w:eastAsia="el"/>
        </w:rPr>
      </w:pPr>
      <w:r>
        <w:rPr>
          <w:b/>
          <w:bCs/>
          <w:lang w:val="el" w:eastAsia="el"/>
        </w:rPr>
        <w:t xml:space="preserve">6. </w:t>
      </w:r>
      <w:r>
        <w:rPr>
          <w:b/>
          <w:bCs/>
          <w:lang w:val="el" w:eastAsia="el"/>
        </w:rPr>
        <w:t>Διεύθυνση Ελεγκτικών Διαδικασιών,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