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Κοινοποίηση της υπό στοιχεία Α.1130/25-08-2023 κοινής απόφασης του Υφυπουργού Εθνικής Οικονομίας &amp; Οικονομικών και του Διοικητή της ΑΑΔΕ με θέμα «Καθορισμός του τρόπου, του χρόνου, του περιεχομένου και της αρμόδιας τελωνειακής αρχής υποβολής της Δήλωσης Γνωστοποίησης Παραλαβής, των υποχρεώσεων των παραληπτών και μεταφορέων, καθώς και της διαδικασίας και των αρμόδιων αρχών παρακολούθησης και ελέγχου της τήρησης των οριζόμενων στο άρθρο 112Β του ν.2960/2001, σχετικά με την διακίνηση και παραλαβή των ενεργειακών προϊόντων που, ρητά, αναφέρονται στο άρθρο αυτό» (Β’ 5320) και παροχή οδηγιών.</w:t>
      </w:r>
    </w:p>
    <w:p>
      <w:pPr>
        <w:pStyle w:val="enacting"/>
        <w:spacing w:before="120" w:after="0"/>
        <w:rPr>
          <w:lang w:val="el" w:eastAsia="el"/>
        </w:rPr>
      </w:pPr>
      <w:r>
        <w:rPr>
          <w:b/>
          <w:bCs/>
          <w:lang w:val="el" w:eastAsia="el"/>
        </w:rPr>
        <w:t>ΠΕΡΙΛΗΨΗ ΕΓΚΥΚΛΙΟΥ</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 xml:space="preserve">Εγκύκλιος κοινοποίησης της υπό στοιχεία Α.1130/25-08-2023 κοινής απόφασης του Υφυπουργού Εθνικής Οικονομίας &amp; Οικονομικών και του Διοικητή της ΑΑΔΕ με θέμα «Καθορισμός του τρόπου, του χρόνου, του περιεχομένου και της αρμόδιας τελωνειακής αρχής υποβολής της Δήλωσης Γνωστοποίησης Παραλαβής, των υποχρεώσεων των </w:t>
      </w:r>
      <w:r>
        <w:rPr>
          <w:b/>
          <w:bCs/>
          <w:u w:val="single"/>
          <w:lang w:val="el" w:eastAsia="el"/>
        </w:rPr>
        <w:t>παραληπτών και μεταφορέων, καθώς και της διαδικασίας και των αρμόδιων αρχών</w:t>
      </w:r>
    </w:p>
    <w:p>
      <w:pPr>
        <w:pStyle w:val="PreambelText"/>
        <w:spacing w:before="240" w:after="240"/>
        <w:rPr>
          <w:lang w:val="el" w:eastAsia="el"/>
        </w:rPr>
      </w:pPr>
      <w:r>
        <w:rPr>
          <w:b/>
          <w:bCs/>
          <w:lang w:val="el" w:eastAsia="el"/>
        </w:rPr>
        <w:t>παρακολούθησης και ελέγχου της τήρησης των οριζόμενων στο άρθρο 112Β του ν.2960/2001, σχετικά με την διακίνηση και παραλαβή των ενεργειακών προϊόντων που, ρητά, αναφέρονται στο άρθρο αυτό» (Β΄5320) και παροχή οδηγιών.</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Με την παρούσα εγκύκλιο κοινοποιείται η ανωτέρω υπό στοιχεία Α.1130/25-08-2023 κοινή απόφασης του Υφυπουργού Εθνικής Οικονομίας &amp; Οικονομικών και του Διοικητή της ΑΑΔΕ και παρέχονται οδηγίες για την εφαρμογή της, σύμφωνα με τις οποίες τα φυσικά ή νομικά πρόσωπα των περ. α), β) και γ) της παρ. 2 του άρθρου 1 του ν. 4308/2014 (Α’ 251), τα οποία στο πλαίσιο των οικονομικών τους δραστηριοτήτων ή της παραγωγικής τους διαδικασίας, παραλαμβάνουν, είτε από άλλα κράτη μέλη της Ε.Ε., είτε από το εσωτερικό της χώρας, είτε από τρίτες χώρες, προϊόντα των κωδικών Σ.Ο. 2710 19 71 έως και 2710 19 99 και των δασμολογικών κλάσεων 3403 και 3814, σε χύδην μορφή, υποχρεούνται να υποβάλουν Δήλωση Γνωστοποίησης Παραλαβής των προϊόντων αυτών, μέσω του πληροφοριακού συστήματος Τελωνείων ICISnet, στην αρμόδια τελωνειακή αρχή. Η διακίνηση των προϊόντων αυτών στο έδαφος της χώρας θα πρέπει να πραγματοποιείται, υποχρεωτικά, υπό την κάλυψη της Δήλωσης Γνωστοποίησης Παραλαβής.</w:t>
      </w:r>
    </w:p>
    <w:p>
      <w:pPr>
        <w:pStyle w:val="enacting"/>
        <w:spacing w:before="120" w:after="0"/>
        <w:rPr>
          <w:lang w:val="el" w:eastAsia="el"/>
        </w:rPr>
      </w:pPr>
      <w:r>
        <w:rPr>
          <w:b/>
          <w:bCs/>
          <w:lang w:val="el" w:eastAsia="el"/>
        </w:rPr>
        <w:t xml:space="preserve">Γ) ΠΕΔΙΟ ΕΦΑΡΜΟΓΗΣΗ παρούσα εγκύκλιος αφορά:α) στα φυσικά ή νομικά πρόσωπα των περ. α), β) και γ) της παρ. 2 του άρθρου 1 </w:t>
      </w:r>
      <w:r>
        <w:rPr>
          <w:lang w:val="el" w:eastAsia="el"/>
        </w:rPr>
        <w:br/>
      </w:r>
      <w:r>
        <w:rPr>
          <w:b/>
          <w:bCs/>
          <w:lang w:val="el" w:eastAsia="el"/>
        </w:rPr>
        <w:t xml:space="preserve">του ν.4308/2014 (Α’ 251), </w:t>
      </w:r>
      <w:r>
        <w:rPr>
          <w:lang w:val="el" w:eastAsia="el"/>
        </w:rPr>
        <w:br/>
      </w:r>
      <w:r>
        <w:rPr>
          <w:b/>
          <w:bCs/>
          <w:lang w:val="el" w:eastAsia="el"/>
        </w:rPr>
        <w:t xml:space="preserve">τα οποία στο πλαίσιο των οικονομικών τους δραστηριοτήτων ή τηςπαραγωγικής τους διαδικασίας, παραλαμβάνουν, είτε από άλλα κράτη μέλη της Ε.Ε., είτεαπό το εσωτερικό της χώρας, είτε από τρίτες χώρες, προϊόντα των κωδικών Σ.Ο. </w:t>
      </w:r>
      <w:r>
        <w:rPr>
          <w:lang w:val="el" w:eastAsia="el"/>
        </w:rPr>
        <w:br/>
      </w:r>
      <w:r>
        <w:rPr>
          <w:b/>
          <w:bCs/>
          <w:lang w:val="el" w:eastAsia="el"/>
        </w:rPr>
        <w:t>2710 19 71έως και 2710 19 99 και των δασμολογικών κλάσεων 3403 και 3814, σε χύδην μορφή,</w:t>
      </w:r>
    </w:p>
    <w:p>
      <w:pPr>
        <w:pStyle w:val="StructureList1"/>
        <w:spacing w:before="120" w:after="0"/>
        <w:rPr>
          <w:lang w:val="el" w:eastAsia="el"/>
        </w:rPr>
      </w:pPr>
      <w:r>
        <w:rPr>
          <w:lang w:val="el" w:eastAsia="el"/>
        </w:rPr>
        <w:t>β)</w:t>
      </w:r>
      <w:r>
        <w:rPr>
          <w:lang w:val="en" w:eastAsia="en"/>
        </w:rPr>
        <w:tab/>
      </w:r>
      <w:r>
        <w:rPr>
          <w:b/>
          <w:bCs/>
          <w:lang w:val="el" w:eastAsia="el"/>
        </w:rPr>
        <w:t>στις τελωνειακές αρχές της Ανεξάρτητης Αρχής Δημοσίων Εσόδων, οι οποίες θα εφαρμόσουν την κοινοποιούμενη απόφαση.</w:t>
      </w:r>
    </w:p>
    <w:p>
      <w:pPr>
        <w:pStyle w:val="PreambelText"/>
        <w:spacing w:before="240" w:after="240"/>
        <w:rPr>
          <w:lang w:val="el" w:eastAsia="el"/>
        </w:rPr>
      </w:pPr>
      <w:r>
        <w:rPr>
          <w:b/>
          <w:bCs/>
          <w:lang w:val="el" w:eastAsia="el"/>
        </w:rPr>
        <w:t>Με την παρούσα κοινοποιείται, συνημμένα, η ανωτέρω υπό στοιχεία Α.1130/25-08-2023 κοινή απόφαση του Υφυπουργού Εθνικής Οικονομίας &amp; Οικονομικών και του Διοικητή της ΑΑΔΕ, η οποία εκδόθηκε κατ’ εφαρμογή της παρ. 5 του άρθρου 112 Β του Εθνικού Τελωνειακού Κώδικα (ν.2960/2001), δημοσιεύτηκε στο ΦΕΚ Β΄5320/056-09-2023 και παρέχονται οδηγίες για την εφαρμογή της, σύμφωνα με τα ειδικότερα αναφερόμενα στα Παραρτήματα της παρούσας που αποτελούν αναπόσπαστο μέρος αυτής.</w:t>
      </w:r>
    </w:p>
    <w:p>
      <w:pPr>
        <w:pStyle w:val="PreambelText"/>
        <w:spacing w:before="240" w:after="240"/>
        <w:rPr>
          <w:lang w:val="el" w:eastAsia="el"/>
        </w:rPr>
      </w:pPr>
      <w:r>
        <w:rPr>
          <w:b/>
          <w:bCs/>
          <w:lang w:val="el" w:eastAsia="el"/>
        </w:rPr>
        <w:t>Ειδικότερα, σύμφωνα με την κοινοποιούμενη απόφαση:</w:t>
      </w:r>
    </w:p>
    <w:p>
      <w:pPr>
        <w:pStyle w:val="PreambelText"/>
        <w:spacing w:before="240" w:after="240"/>
        <w:rPr>
          <w:lang w:val="el" w:eastAsia="el"/>
        </w:rPr>
      </w:pPr>
      <w:r>
        <w:rPr>
          <w:lang w:val="el" w:eastAsia="el"/>
        </w:rPr>
        <w:t xml:space="preserve">1. </w:t>
      </w:r>
      <w:r>
        <w:rPr>
          <w:b/>
          <w:bCs/>
          <w:lang w:val="el" w:eastAsia="el"/>
        </w:rPr>
        <w:t>Με την παρ.1 του άρθρου 1 καθορίζεται ο σκοπός και το πεδίο εφαρμογής της απόφασης, ήτοι ο τρόπος, ο χρόνος, το περιεχόμενο και η αρμόδια τελωνειακή αρχή υποβολής της Δήλωσης Γνωστοποίησης Παραλαβής των προϊόντων της παρ. 1 του άρθρου 2, οι υποχρεώσεις των παραληπτών και των μεταφορέων των εν λόγω προϊόντων, καθώς και η διαδικασία και οι αρμόδιες αρχές παρακολούθησης και ελέγχου της παραλαβής και διακίνησης των εν λόγω προϊόντων σε χύδην μορφή.</w:t>
      </w:r>
    </w:p>
    <w:p>
      <w:pPr>
        <w:pStyle w:val="PreambelText"/>
        <w:spacing w:before="240" w:after="240"/>
        <w:rPr>
          <w:lang w:val="el" w:eastAsia="el"/>
        </w:rPr>
      </w:pPr>
      <w:r>
        <w:rPr>
          <w:b/>
          <w:bCs/>
          <w:lang w:val="el" w:eastAsia="el"/>
        </w:rPr>
        <w:t>Με την παρ. 2 του άρθρου 1 ορίζεται η έννοια της διακίνησης και παραλαβής σε «χύδην μορφή», για τους σκοπούς εφαρμογής της απόφασης και ειδικότερα, ως διακίνηση και παραλαβή σε χύδην μορφή των προϊόντων για τα οποία υπάρχει η υποχρέωση υποβολής</w:t>
      </w:r>
    </w:p>
    <w:p>
      <w:pPr>
        <w:pStyle w:val="PreambelText"/>
        <w:spacing w:before="240" w:after="240"/>
        <w:rPr>
          <w:lang w:val="el" w:eastAsia="el"/>
        </w:rPr>
      </w:pPr>
      <w:r>
        <w:rPr>
          <w:b/>
          <w:bCs/>
          <w:lang w:val="el" w:eastAsia="el"/>
        </w:rPr>
        <w:t>«Δήλωσης Γνωστοποίησης Παραλαβής», νοείται η διακίνηση και παραλαβή μη συσκευασμένου προϊόντος που μεταφέρεται:</w:t>
      </w:r>
    </w:p>
    <w:p>
      <w:pPr>
        <w:pStyle w:val="PreambelText"/>
        <w:spacing w:before="240" w:after="240"/>
        <w:rPr>
          <w:lang w:val="el" w:eastAsia="el"/>
        </w:rPr>
      </w:pPr>
      <w:r>
        <w:rPr>
          <w:lang w:val="el" w:eastAsia="el"/>
        </w:rPr>
        <w:t xml:space="preserve">• </w:t>
      </w:r>
      <w:r>
        <w:rPr>
          <w:b/>
          <w:bCs/>
          <w:lang w:val="el" w:eastAsia="el"/>
        </w:rPr>
        <w:t xml:space="preserve">σε βυτίο που αποτελεί αναπόσπαστο μέρος του μέσου μεταφοράς (π.χ δεξαμενές βυτιοφόρων οχημάτων, δεξαμενές σε σιδηροδρομικά βαγόνια, δεξαμενόπλοια, κ.λπ.) ή </w:t>
      </w:r>
      <w:r>
        <w:rPr>
          <w:lang w:val="el" w:eastAsia="el"/>
        </w:rPr>
        <w:t>•</w:t>
      </w:r>
      <w:r>
        <w:rPr>
          <w:b/>
          <w:bCs/>
          <w:lang w:val="el" w:eastAsia="el"/>
        </w:rPr>
        <w:t xml:space="preserve"> σε δεξαμενή ISO ή</w:t>
      </w:r>
    </w:p>
    <w:p>
      <w:pPr>
        <w:pStyle w:val="PreambelText"/>
        <w:spacing w:before="240" w:after="240"/>
        <w:rPr>
          <w:lang w:val="el" w:eastAsia="el"/>
        </w:rPr>
      </w:pPr>
      <w:r>
        <w:rPr>
          <w:lang w:val="el" w:eastAsia="el"/>
        </w:rPr>
        <w:t xml:space="preserve">• </w:t>
      </w:r>
      <w:r>
        <w:rPr>
          <w:b/>
          <w:bCs/>
          <w:lang w:val="el" w:eastAsia="el"/>
        </w:rPr>
        <w:t>σε οποιοδήποτε άλλο δοχείο μη τυποποιημένης συσκευασίας (ήτοι δοχείο ανεξαρτήτου περιεκτικότητας που δε φέρει επισημάνσεις σχετικά με την ονομασία και τα χαρακτηριστικά του προϊόντος).</w:t>
      </w:r>
    </w:p>
    <w:p>
      <w:pPr>
        <w:pStyle w:val="PreambelText"/>
        <w:spacing w:before="240" w:after="240"/>
        <w:rPr>
          <w:lang w:val="el" w:eastAsia="el"/>
        </w:rPr>
      </w:pPr>
      <w:r>
        <w:rPr>
          <w:lang w:val="el" w:eastAsia="el"/>
        </w:rPr>
        <w:t xml:space="preserve">2. </w:t>
      </w:r>
      <w:r>
        <w:rPr>
          <w:b/>
          <w:bCs/>
          <w:lang w:val="el" w:eastAsia="el"/>
        </w:rPr>
        <w:t>Με το άρθρο 2 καθορίζονται ο τρόπος και ο χρόνος υποβολής της Δήλωσης Γνωστοποίησης Παραλαβής των προϊόντων της παρ. 1 του άρθρου 2, καθώς και το περιεχόμενο αυτής. Ειδικότερα με την παρ. 1 του άρθρου 2 προβλέπεται ότι:</w:t>
      </w:r>
    </w:p>
    <w:p>
      <w:pPr>
        <w:pStyle w:val="PreambelText"/>
        <w:spacing w:before="240" w:after="240"/>
        <w:rPr>
          <w:lang w:val="el" w:eastAsia="el"/>
        </w:rPr>
      </w:pPr>
      <w:r>
        <w:rPr>
          <w:lang w:val="el" w:eastAsia="el"/>
        </w:rPr>
        <w:t xml:space="preserve">• </w:t>
      </w:r>
      <w:r>
        <w:rPr>
          <w:b/>
          <w:bCs/>
          <w:lang w:val="el" w:eastAsia="el"/>
        </w:rPr>
        <w:t>υπόχρεες οντότητες, σύμφωνα με τα οριζόμενα στο άρθρο 112Β του ν.2960/2001 είναι τα φυσικά ή νομικά πρόσωπα των περ. α), β) και γ) της παρ. 2 του άρθρου 1 του ν. 4308/2014 (Α’ 251),</w:t>
      </w:r>
    </w:p>
    <w:p>
      <w:pPr>
        <w:pStyle w:val="PreambelText"/>
        <w:spacing w:before="240" w:after="240"/>
        <w:rPr>
          <w:lang w:val="el" w:eastAsia="el"/>
        </w:rPr>
      </w:pPr>
      <w:r>
        <w:rPr>
          <w:lang w:val="el" w:eastAsia="el"/>
        </w:rPr>
        <w:t xml:space="preserve">• </w:t>
      </w:r>
      <w:r>
        <w:rPr>
          <w:b/>
          <w:bCs/>
          <w:lang w:val="el" w:eastAsia="el"/>
        </w:rPr>
        <w:t>τα προϊόντα για τα οποία ορίζεται η υποχρέωση υποβολής της Δήλωσης Γνωστοποίησης Παραλαβής είναι τα προϊόντα των κωδικών Σ.Ο. 2710 19 71 έως και 2710 19 99 και των δασμολογικών κλάσεων 3403 και 3814, σε χύδην μορφή, αναλυτικότερη περιγραφή των οποίων παρέχεται στο Παράρτημα ΙΙ της παρούσας,</w:t>
      </w:r>
    </w:p>
    <w:p>
      <w:pPr>
        <w:pStyle w:val="PreambelText"/>
        <w:spacing w:before="240" w:after="240"/>
        <w:rPr>
          <w:lang w:val="el" w:eastAsia="el"/>
        </w:rPr>
      </w:pPr>
      <w:r>
        <w:rPr>
          <w:lang w:val="el" w:eastAsia="el"/>
        </w:rPr>
        <w:t xml:space="preserve">• </w:t>
      </w:r>
      <w:r>
        <w:rPr>
          <w:b/>
          <w:bCs/>
          <w:lang w:val="el" w:eastAsia="el"/>
        </w:rPr>
        <w:t>ο τρόπος υποβολής της Δήλωσης Γνωστοποίησης Παραλαβής πραγματοποιείται, μέσω του πληροφοριακού συστήματος Τελωνείων ICISnet.</w:t>
      </w:r>
    </w:p>
    <w:p>
      <w:pPr>
        <w:pStyle w:val="PreambelText"/>
        <w:spacing w:before="240" w:after="240"/>
        <w:rPr>
          <w:lang w:val="el" w:eastAsia="el"/>
        </w:rPr>
      </w:pPr>
      <w:r>
        <w:rPr>
          <w:b/>
          <w:bCs/>
          <w:lang w:val="el" w:eastAsia="el"/>
        </w:rPr>
        <w:t>Ειδικότερες οδηγίες για την υποβολή της Δήλωσης Γνωστοποίησης Παραλαβής, περιλαμβάνονται στο Παράρτημα Ι της παρούσας.</w:t>
      </w:r>
    </w:p>
    <w:p>
      <w:pPr>
        <w:pStyle w:val="PreambelText"/>
        <w:spacing w:before="240" w:after="240"/>
        <w:rPr>
          <w:lang w:val="el" w:eastAsia="el"/>
        </w:rPr>
      </w:pPr>
      <w:r>
        <w:rPr>
          <w:b/>
          <w:bCs/>
          <w:lang w:val="el" w:eastAsia="el"/>
        </w:rPr>
        <w:t>Με την παρ. 2 του άρθρου 2 καθορίζονται τα στοιχεία που περιέχει η Δήλωση Γνωστοποίησης Παραλαβής.</w:t>
      </w:r>
    </w:p>
    <w:p>
      <w:pPr>
        <w:pStyle w:val="PreambelText"/>
        <w:spacing w:before="240" w:after="240"/>
        <w:rPr>
          <w:lang w:val="el" w:eastAsia="el"/>
        </w:rPr>
      </w:pPr>
      <w:r>
        <w:rPr>
          <w:b/>
          <w:bCs/>
          <w:lang w:val="el" w:eastAsia="el"/>
        </w:rPr>
        <w:t>Με την παρ. 3 του άρθρου 2 καθορίζεται ο χρόνος υποβολής της Δήλωσης Γνωστοποίησης Παραλαβής, ανάλογα με τον τόπο αποστολής των προϊόντων.</w:t>
      </w:r>
    </w:p>
    <w:p>
      <w:pPr>
        <w:pStyle w:val="PreambelText"/>
        <w:spacing w:before="240" w:after="240"/>
        <w:rPr>
          <w:lang w:val="el" w:eastAsia="el"/>
        </w:rPr>
      </w:pPr>
      <w:r>
        <w:rPr>
          <w:lang w:val="el" w:eastAsia="el"/>
        </w:rPr>
        <w:t xml:space="preserve">3. </w:t>
      </w:r>
      <w:r>
        <w:rPr>
          <w:b/>
          <w:bCs/>
          <w:lang w:val="el" w:eastAsia="el"/>
        </w:rPr>
        <w:t>Με το άρθρο 3 καθορίζονται οι υποχρεώσεις των παραληπτών και των μεταφορέων των προϊόντων της παρ. 1 του άρθρου 2, ήτοι, κατά περίπτωση η υποχρέωση εμπρόθεσμης υποβολής της Δήλωσης Γνωστοποίησης Παραλαβής και η διακίνηση υπό την κάλυψη αυτής, ενώ παράλληλα προβλέπεται η υποχρέωση από τους οικονομικούς φορείς για τη διευκόλυνση οποιουδήποτε ελέγχου, φυσικού ή λογιστικού, στο πλαίσιο διαπίστωσης της νόμιμης χρήσης και διακίνησης των εν λόγω προϊόντων.</w:t>
      </w:r>
    </w:p>
    <w:p>
      <w:pPr>
        <w:pStyle w:val="PreambelText"/>
        <w:spacing w:before="240" w:after="240"/>
        <w:rPr>
          <w:lang w:val="el" w:eastAsia="el"/>
        </w:rPr>
      </w:pPr>
      <w:r>
        <w:rPr>
          <w:lang w:val="el" w:eastAsia="el"/>
        </w:rPr>
        <w:t xml:space="preserve">4. </w:t>
      </w:r>
      <w:r>
        <w:rPr>
          <w:b/>
          <w:bCs/>
          <w:lang w:val="el" w:eastAsia="el"/>
        </w:rPr>
        <w:t>Με το άρθρο 4 ορίζεται ότι αρμόδια τελωνειακή αρχή για την υποβολή της Δήλωσης Γνωστοποίησης Παραλαβής είναι η Επιτελική Υπηρεσία Τελωνειακών Ελέγχων (Ε.Υ.Τ.Ε) της Γενικής Δ/νσης Τελωνείων και Ε.Φ.Κ. της Ανεξάρτητης Αρχής Δημοσίων Εσόδων, καθώς και η διαδικασία και οι αρμόδιες αρχές παρακολούθησης και ελέγχου της διακίνησης και παραλαβής των προϊόντων της παρ. 1 του άρθρου 2.</w:t>
      </w:r>
    </w:p>
    <w:p>
      <w:pPr>
        <w:pStyle w:val="PreambelText"/>
        <w:spacing w:before="240" w:after="240"/>
        <w:rPr>
          <w:lang w:val="el" w:eastAsia="el"/>
        </w:rPr>
      </w:pPr>
      <w:r>
        <w:rPr>
          <w:b/>
          <w:bCs/>
          <w:lang w:val="el" w:eastAsia="el"/>
        </w:rPr>
        <w:t>Κατόπιν των ανωτέρω, παρακαλούνται οι οικονομικοί φορείς και οι αρμόδιες τελωνειακές αρχές, για την πιστή εφαρμογή των οριζόμενων στην κοινοποιούμενη απόφαση, σύμφωνα με τις οδηγίες των Παραρτημάτων της παρούσας.</w:t>
      </w:r>
    </w:p>
    <w:p>
      <w:pPr>
        <w:pStyle w:val="enacting"/>
        <w:spacing w:before="120" w:after="0"/>
        <w:rPr>
          <w:lang w:val="el" w:eastAsia="el"/>
        </w:rPr>
      </w:pPr>
      <w:r>
        <w:rPr>
          <w:b/>
          <w:bCs/>
          <w:lang w:val="el" w:eastAsia="el"/>
        </w:rPr>
        <w:t>Ο ΔΙΟΙΚΗΤΗΣ ΑΑΔΕ</w:t>
      </w:r>
      <w:r>
        <w:rPr>
          <w:lang w:val="el" w:eastAsia="el"/>
        </w:rPr>
        <w:br/>
      </w:r>
      <w:r>
        <w:rPr>
          <w:b/>
          <w:bCs/>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Α. ΑΠΟΔΕΚΤΕΣ ΓΙΑ ΕΝΕΡΓΕΙΑ</w:t>
      </w:r>
    </w:p>
    <w:p>
      <w:pPr>
        <w:pStyle w:val="PreambelText"/>
        <w:spacing w:before="240" w:after="240"/>
        <w:rPr>
          <w:lang w:val="el" w:eastAsia="el"/>
        </w:rPr>
      </w:pPr>
      <w:r>
        <w:rPr>
          <w:b/>
          <w:bCs/>
          <w:lang w:val="el" w:eastAsia="el"/>
        </w:rPr>
        <w:t>Επιτελική Υπηρεσία Τελωνειακών Ελέγχων (Ε.Υ.Τ.Ε.)</w:t>
      </w:r>
    </w:p>
    <w:p>
      <w:pPr>
        <w:pStyle w:val="PreambelText"/>
        <w:spacing w:before="240" w:after="240"/>
        <w:rPr>
          <w:lang w:val="el" w:eastAsia="el"/>
        </w:rPr>
      </w:pPr>
      <w:r>
        <w:rPr>
          <w:lang w:val="el" w:eastAsia="el"/>
        </w:rPr>
        <w:t xml:space="preserve">2. </w:t>
      </w:r>
      <w:r>
        <w:rPr>
          <w:b/>
          <w:bCs/>
          <w:lang w:val="el" w:eastAsia="el"/>
        </w:rPr>
        <w:t>Ελεγκτικές Υπηρεσίες Τελωνείων (ΕΛ.Υ.Τ.) Αττικής – Θεσσαλονίκης</w:t>
      </w:r>
    </w:p>
    <w:p>
      <w:pPr>
        <w:pStyle w:val="PreambelText"/>
        <w:spacing w:before="240" w:after="240"/>
        <w:rPr>
          <w:lang w:val="el" w:eastAsia="el"/>
        </w:rPr>
      </w:pPr>
      <w:r>
        <w:rPr>
          <w:lang w:val="el" w:eastAsia="el"/>
        </w:rPr>
        <w:t xml:space="preserve">3. </w:t>
      </w:r>
      <w:r>
        <w:rPr>
          <w:b/>
          <w:bCs/>
          <w:lang w:val="el" w:eastAsia="el"/>
        </w:rPr>
        <w:t>Τελωνεία Α΄ &amp; Β΄ Τάξης</w:t>
      </w:r>
    </w:p>
    <w:p>
      <w:pPr>
        <w:pStyle w:val="PreambelText"/>
        <w:spacing w:before="240" w:after="240"/>
        <w:rPr>
          <w:lang w:val="el" w:eastAsia="el"/>
        </w:rPr>
      </w:pPr>
      <w:r>
        <w:rPr>
          <w:lang w:val="el" w:eastAsia="el"/>
        </w:rPr>
        <w:t xml:space="preserve">4. </w:t>
      </w:r>
      <w:r>
        <w:rPr>
          <w:b/>
          <w:bCs/>
          <w:lang w:val="el" w:eastAsia="el"/>
        </w:rPr>
        <w:t>Δ/νση Στρατηγικής Τεχνολογιών Πληροφορικής (ΔΙ.Σ.ΤΕ.ΠΛ) της Γ.Δ.ΗΛΕ.Δ.</w:t>
      </w:r>
    </w:p>
    <w:p>
      <w:pPr>
        <w:pStyle w:val="PreambelText"/>
        <w:spacing w:before="240" w:after="240"/>
        <w:rPr>
          <w:lang w:val="el" w:eastAsia="el"/>
        </w:rPr>
      </w:pPr>
      <w:r>
        <w:rPr>
          <w:b/>
          <w:bCs/>
          <w:lang w:val="el" w:eastAsia="el"/>
        </w:rPr>
        <w:t>(για την ενημέρωση της Ηλεκτρονικής Βιβλιοθήκης και του portal της Α.Α.Δ.Ε)), e-mail:</w:t>
      </w:r>
      <w:hyperlink r:id="rId4" w:history="1">
        <w:r>
          <w:rPr>
            <w:rStyle w:val="Hyperlink"/>
            <w:b/>
            <w:bCs/>
            <w:color w:val="0000EE"/>
            <w:u w:color="0000EE"/>
            <w:lang w:val="el" w:eastAsia="el"/>
          </w:rPr>
          <w:t>siteadmin@aade.gr</w:t>
        </w:r>
      </w:hyperlink>
    </w:p>
    <w:p>
      <w:pPr>
        <w:pStyle w:val="PreambelText"/>
        <w:spacing w:before="240" w:after="240"/>
        <w:rPr>
          <w:lang w:val="el" w:eastAsia="el"/>
        </w:rPr>
      </w:pPr>
      <w:r>
        <w:rPr>
          <w:b/>
          <w:bCs/>
          <w:lang w:val="el" w:eastAsia="el"/>
        </w:rPr>
        <w:t>Β. ΚΟΙΝΟΠΟΙΗΣΗ</w:t>
      </w:r>
    </w:p>
    <w:p>
      <w:pPr>
        <w:pStyle w:val="PreambelText"/>
        <w:spacing w:before="240" w:after="240"/>
        <w:rPr>
          <w:lang w:val="el" w:eastAsia="el"/>
        </w:rPr>
      </w:pPr>
      <w:r>
        <w:rPr>
          <w:b/>
          <w:bCs/>
          <w:lang w:val="el" w:eastAsia="el"/>
        </w:rPr>
        <w:t>Γραφείο Υπουργού Εθνικής Οικονομίας &amp; Οικονομικών</w:t>
      </w:r>
    </w:p>
    <w:p>
      <w:pPr>
        <w:pStyle w:val="PreambelText"/>
        <w:spacing w:before="240" w:after="240"/>
        <w:rPr>
          <w:lang w:val="el" w:eastAsia="el"/>
        </w:rPr>
      </w:pPr>
      <w:r>
        <w:rPr>
          <w:b/>
          <w:bCs/>
          <w:lang w:val="el" w:eastAsia="el"/>
        </w:rPr>
        <w:t>Γραφείο Υφυπουργού Εθνικής Οικονομίας &amp; Οικονομικών</w:t>
      </w:r>
    </w:p>
    <w:p>
      <w:pPr>
        <w:pStyle w:val="PreambelText"/>
        <w:spacing w:before="240" w:after="240"/>
        <w:rPr>
          <w:lang w:val="el" w:eastAsia="el"/>
        </w:rPr>
      </w:pPr>
      <w:r>
        <w:rPr>
          <w:b/>
          <w:bCs/>
          <w:lang w:val="el" w:eastAsia="el"/>
        </w:rPr>
        <w:t>Γραφείο Γεν. Δ/ντριας Γενικού Χημείου Κράτους</w:t>
      </w:r>
    </w:p>
    <w:p>
      <w:pPr>
        <w:pStyle w:val="PreambelText"/>
        <w:spacing w:before="240" w:after="240"/>
        <w:rPr>
          <w:lang w:val="el" w:eastAsia="el"/>
        </w:rPr>
      </w:pPr>
      <w:r>
        <w:rPr>
          <w:b/>
          <w:bCs/>
          <w:lang w:val="el" w:eastAsia="el"/>
        </w:rPr>
        <w:t>Γραφείο Γεν. Δ/ντριας Ηλεκτρονικής Διακυβέρνησης</w:t>
      </w:r>
    </w:p>
    <w:p>
      <w:pPr>
        <w:pStyle w:val="PreambelText"/>
        <w:spacing w:before="240" w:after="240"/>
        <w:rPr>
          <w:lang w:val="el" w:eastAsia="el"/>
        </w:rPr>
      </w:pPr>
      <w:r>
        <w:rPr>
          <w:b/>
          <w:bCs/>
          <w:lang w:val="el" w:eastAsia="el"/>
        </w:rPr>
        <w:t>Γενική Δ/νση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 Υποδιεύθυνση Απαιτήσεων &amp; Ελέγχου Εφαρμογών Τελωνείων</w:t>
      </w:r>
    </w:p>
    <w:p>
      <w:pPr>
        <w:pStyle w:val="PreambelText"/>
        <w:spacing w:before="240" w:after="240"/>
        <w:rPr>
          <w:lang w:val="el" w:eastAsia="el"/>
        </w:rPr>
      </w:pPr>
      <w:r>
        <w:rPr>
          <w:b/>
          <w:bCs/>
          <w:lang w:val="el" w:eastAsia="el"/>
        </w:rPr>
        <w:t>Γενική Δ/νση Γενικού Χημείου Κράτους</w:t>
      </w:r>
    </w:p>
    <w:p>
      <w:pPr>
        <w:pStyle w:val="PreambelText"/>
        <w:spacing w:before="240" w:after="240"/>
        <w:rPr>
          <w:lang w:val="el" w:eastAsia="el"/>
        </w:rPr>
      </w:pPr>
      <w:r>
        <w:rPr>
          <w:b/>
          <w:bCs/>
          <w:lang w:val="el" w:eastAsia="el"/>
        </w:rPr>
        <w:t>Δ/νση Ενεργεικών, Βιομηχανικών &amp; Χημικών Προϊόντων</w:t>
      </w:r>
    </w:p>
    <w:p>
      <w:pPr>
        <w:pStyle w:val="PreambelText"/>
        <w:spacing w:before="240" w:after="240"/>
        <w:rPr>
          <w:lang w:val="el" w:eastAsia="el"/>
        </w:rPr>
      </w:pPr>
      <w:r>
        <w:rPr>
          <w:b/>
          <w:bCs/>
          <w:lang w:val="el" w:eastAsia="el"/>
        </w:rPr>
        <w:t>Συντονιστικό Επιχειρησιακό Κέντρο (Σ.Ε.Κ.)</w:t>
      </w:r>
    </w:p>
    <w:p>
      <w:pPr>
        <w:pStyle w:val="PreambelText"/>
        <w:spacing w:before="240" w:after="240"/>
        <w:rPr>
          <w:lang w:val="el" w:eastAsia="el"/>
        </w:rPr>
      </w:pPr>
      <w:r>
        <w:rPr>
          <w:b/>
          <w:bCs/>
          <w:lang w:val="el" w:eastAsia="el"/>
        </w:rPr>
        <w:t>Υπηρεσίες Ερευνών και Διασφάλισης Δημοσίων Εσόδων (Υ.Ε.Δ.Δ.Ε.)</w:t>
      </w:r>
    </w:p>
    <w:p>
      <w:pPr>
        <w:pStyle w:val="PreambelText"/>
        <w:spacing w:before="240" w:after="240"/>
        <w:rPr>
          <w:lang w:val="el" w:eastAsia="el"/>
        </w:rPr>
      </w:pPr>
      <w:r>
        <w:rPr>
          <w:b/>
          <w:bCs/>
          <w:lang w:val="el" w:eastAsia="el"/>
        </w:rPr>
        <w:t>Γενική Δ/νση Σώματος Δίωξης Οικονομικούς Εγκλήματος (ΣΔΟΕ) του Υπουργείου Εθνικής Οικονομίας &amp; Οικονομικών</w:t>
      </w:r>
    </w:p>
    <w:p>
      <w:pPr>
        <w:pStyle w:val="PreambelText"/>
        <w:spacing w:before="240" w:after="240"/>
        <w:rPr>
          <w:lang w:val="el" w:eastAsia="el"/>
        </w:rPr>
      </w:pPr>
      <w:r>
        <w:rPr>
          <w:b/>
          <w:bCs/>
          <w:lang w:val="el" w:eastAsia="el"/>
        </w:rPr>
        <w:t>Τελωνειακές Περιφέρειες</w:t>
      </w:r>
    </w:p>
    <w:p>
      <w:pPr>
        <w:pStyle w:val="PreambelText"/>
        <w:spacing w:before="240" w:after="240"/>
        <w:rPr>
          <w:lang w:val="el" w:eastAsia="el"/>
        </w:rPr>
      </w:pPr>
      <w:r>
        <w:rPr>
          <w:b/>
          <w:bCs/>
          <w:lang w:val="el" w:eastAsia="el"/>
        </w:rPr>
        <w:t>Αυτοτελές Τμήμα Διεθνών Τελωνειακών Σχέσεων</w:t>
      </w:r>
    </w:p>
    <w:p>
      <w:pPr>
        <w:pStyle w:val="PreambelText"/>
        <w:spacing w:before="240" w:after="240"/>
        <w:rPr>
          <w:lang w:val="el" w:eastAsia="el"/>
        </w:rPr>
      </w:pPr>
      <w:r>
        <w:rPr>
          <w:b/>
          <w:bCs/>
          <w:lang w:val="el" w:eastAsia="el"/>
        </w:rPr>
        <w:t>Δ/νση Εσωτερικού Ελέγχου</w:t>
      </w:r>
    </w:p>
    <w:p>
      <w:pPr>
        <w:pStyle w:val="PreambelText"/>
        <w:spacing w:before="240" w:after="240"/>
        <w:rPr>
          <w:lang w:val="el" w:eastAsia="el"/>
        </w:rPr>
      </w:pPr>
      <w:r>
        <w:rPr>
          <w:b/>
          <w:bCs/>
          <w:lang w:val="el" w:eastAsia="el"/>
        </w:rPr>
        <w:t>Διεύθυνση Νομικής Υποστήριξης Α.Α.Δ.Ε.</w:t>
      </w:r>
    </w:p>
    <w:p>
      <w:pPr>
        <w:pStyle w:val="PreambelText"/>
        <w:spacing w:before="240" w:after="240"/>
        <w:rPr>
          <w:lang w:val="el" w:eastAsia="el"/>
        </w:rPr>
      </w:pPr>
      <w:r>
        <w:rPr>
          <w:b/>
          <w:bCs/>
          <w:lang w:val="el" w:eastAsia="el"/>
        </w:rPr>
        <w:t>Δ/νση Επικοινωνιας ΑΑΔΕ</w:t>
      </w:r>
    </w:p>
    <w:p>
      <w:pPr>
        <w:pStyle w:val="PreambelText"/>
        <w:spacing w:before="240" w:after="240"/>
        <w:rPr>
          <w:lang w:val="el" w:eastAsia="el"/>
        </w:rPr>
      </w:pPr>
      <w:r>
        <w:rPr>
          <w:b/>
          <w:bCs/>
          <w:lang w:val="el" w:eastAsia="el"/>
        </w:rPr>
        <w:t>Δ/νση Εξυπηρέτησης ΑΑΔΕ</w:t>
      </w:r>
    </w:p>
    <w:p>
      <w:pPr>
        <w:pStyle w:val="PreambelText"/>
        <w:spacing w:before="240" w:after="240"/>
        <w:rPr>
          <w:lang w:val="el" w:eastAsia="el"/>
        </w:rPr>
      </w:pPr>
      <w:r>
        <w:rPr>
          <w:b/>
          <w:bCs/>
          <w:lang w:val="el" w:eastAsia="el"/>
        </w:rPr>
        <w:t>ΦΟ.Τ.Α.</w:t>
      </w:r>
    </w:p>
    <w:p>
      <w:pPr>
        <w:pStyle w:val="PreambelText"/>
        <w:spacing w:before="240" w:after="240"/>
        <w:rPr>
          <w:lang w:val="el" w:eastAsia="el"/>
        </w:rPr>
      </w:pPr>
      <w:r>
        <w:rPr>
          <w:b/>
          <w:bCs/>
          <w:lang w:val="el" w:eastAsia="el"/>
        </w:rPr>
        <w:t>Σύνδεσμος Εταιρειών Εμπορίας Πετρελαιοειδών (ΣΕΕΠΕ)</w:t>
      </w:r>
    </w:p>
    <w:p>
      <w:pPr>
        <w:pStyle w:val="PreambelText"/>
        <w:spacing w:before="240" w:after="240"/>
        <w:rPr>
          <w:lang w:val="el" w:eastAsia="el"/>
        </w:rPr>
      </w:pPr>
      <w:r>
        <w:rPr>
          <w:b/>
          <w:bCs/>
          <w:lang w:val="el" w:eastAsia="el"/>
        </w:rPr>
        <w:t>Ίωνος Δραγούμη 46, 11528, Ιλίσια, e mail:</w:t>
      </w:r>
      <w:hyperlink r:id="rId5" w:history="1">
        <w:r>
          <w:rPr>
            <w:rStyle w:val="Hyperlink"/>
            <w:b/>
            <w:bCs/>
            <w:color w:val="0000EE"/>
            <w:u w:color="0000EE"/>
            <w:lang w:val="el" w:eastAsia="el"/>
          </w:rPr>
          <w:t>seepe@seepe.gr</w:t>
        </w:r>
      </w:hyperlink>
    </w:p>
    <w:p>
      <w:pPr>
        <w:pStyle w:val="PreambelText"/>
        <w:spacing w:before="240" w:after="240"/>
        <w:rPr>
          <w:lang w:val="el" w:eastAsia="el"/>
        </w:rPr>
      </w:pPr>
      <w:r>
        <w:rPr>
          <w:b/>
          <w:bCs/>
          <w:lang w:val="el" w:eastAsia="el"/>
        </w:rPr>
        <w:t>Ελληνικά Πετρέλαια Α.Ε. - Γενική Δ/νση Εφοδιασμού &amp; Εμπορίας- Δ/νση Προγραμματισμού Παραγωγής –</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Προδιαγραφών και Σχέσεων με το Δημόσιο - Χειμάρας 8Α, 15125, email:</w:t>
      </w:r>
      <w:hyperlink r:id="rId6" w:history="1">
        <w:r>
          <w:rPr>
            <w:rStyle w:val="Hyperlink"/>
            <w:b/>
            <w:bCs/>
            <w:color w:val="0000EE"/>
            <w:u w:color="0000EE"/>
            <w:lang w:val="el" w:eastAsia="el"/>
          </w:rPr>
          <w:t>helpe @ helpe .gr</w:t>
        </w:r>
      </w:hyperlink>
    </w:p>
    <w:p>
      <w:pPr>
        <w:spacing w:before="240" w:after="240"/>
        <w:rPr>
          <w:lang w:val="el" w:eastAsia="el"/>
        </w:rPr>
      </w:pP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7" w:history="1">
        <w:r>
          <w:rPr>
            <w:rStyle w:val="Hyperlink"/>
            <w:b/>
            <w:bCs/>
            <w:color w:val="0000EE"/>
            <w:u w:color="0000EE"/>
            <w:lang w:val="el" w:eastAsia="el"/>
          </w:rPr>
          <w:t>motoroil.refinery@moh.gr</w:t>
        </w:r>
      </w:hyperlink>
      <w:r>
        <w:rPr>
          <w:b/>
          <w:bCs/>
          <w:u w:val="single"/>
          <w:lang w:val="el" w:eastAsia="el"/>
        </w:rPr>
        <w:t>β) Ηρώδου Αττικού 12Α ,15 124 Μαρούσι, e mail:</w:t>
      </w:r>
      <w:hyperlink r:id="rId8" w:history="1">
        <w:r>
          <w:rPr>
            <w:rStyle w:val="Hyperlink"/>
            <w:b/>
            <w:bCs/>
            <w:color w:val="0000EE"/>
            <w:u w:color="0000EE"/>
            <w:lang w:val="el" w:eastAsia="el"/>
          </w:rPr>
          <w:t>info@moh.gr</w:t>
        </w:r>
      </w:hyperlink>
    </w:p>
    <w:p>
      <w:pPr>
        <w:spacing w:before="240" w:after="240"/>
        <w:rPr>
          <w:lang w:val="el" w:eastAsia="el"/>
        </w:rPr>
      </w:pPr>
      <w:r>
        <w:rPr>
          <w:b/>
          <w:bCs/>
          <w:u w:val="single"/>
          <w:lang w:val="el" w:eastAsia="el"/>
        </w:rPr>
        <w:t xml:space="preserve">20. </w:t>
      </w:r>
      <w:r>
        <w:rPr>
          <w:b/>
          <w:bCs/>
          <w:u w:val="single"/>
          <w:lang w:val="el" w:eastAsia="el"/>
        </w:rPr>
        <w:t>Ομοσπονδία Εκτελωνιστών Ελλάδας, Τσαμαδού 38 – Τ.Κ. 18531 – Πειραιάς, email:</w:t>
      </w:r>
      <w:hyperlink r:id="rId9" w:history="1">
        <w:r>
          <w:rPr>
            <w:rStyle w:val="Hyperlink"/>
            <w:b/>
            <w:bCs/>
            <w:color w:val="0000EE"/>
            <w:u w:color="0000EE"/>
            <w:lang w:val="el" w:eastAsia="el"/>
          </w:rPr>
          <w:t>oete @ oete .gr</w:t>
        </w:r>
      </w:hyperlink>
    </w:p>
    <w:p>
      <w:pPr>
        <w:spacing w:before="240" w:after="240"/>
        <w:rPr>
          <w:lang w:val="el" w:eastAsia="el"/>
        </w:rPr>
      </w:pPr>
      <w:r>
        <w:rPr>
          <w:b/>
          <w:bCs/>
          <w:u w:val="single"/>
          <w:lang w:val="el" w:eastAsia="el"/>
        </w:rPr>
        <w:t xml:space="preserve">21. </w:t>
      </w:r>
      <w:r>
        <w:rPr>
          <w:b/>
          <w:bCs/>
          <w:u w:val="single"/>
          <w:lang w:val="el" w:eastAsia="el"/>
        </w:rPr>
        <w:t>Σύλλογος Εκτελωνιστών – Τελωνειακών Αντιπροσώπων Πειραιώς – Αθηνών (ΣΥ.Ε.Τ.Α.Π.Α.) Τσαμαδού 38 – Τ.Κ. 18531 – Πειραιάς, e mail:</w:t>
      </w:r>
      <w:hyperlink r:id="rId10" w:history="1">
        <w:r>
          <w:rPr>
            <w:rStyle w:val="Hyperlink"/>
            <w:b/>
            <w:bCs/>
            <w:color w:val="0000EE"/>
            <w:u w:color="0000EE"/>
            <w:lang w:val="el" w:eastAsia="el"/>
          </w:rPr>
          <w:t>info@ sepa .gr</w:t>
        </w:r>
      </w:hyperlink>
    </w:p>
    <w:p>
      <w:pPr>
        <w:spacing w:before="240" w:after="240"/>
        <w:rPr>
          <w:lang w:val="el" w:eastAsia="el"/>
        </w:rPr>
      </w:pPr>
      <w:r>
        <w:rPr>
          <w:b/>
          <w:bCs/>
          <w:u w:val="single"/>
          <w:lang w:val="el" w:eastAsia="el"/>
        </w:rPr>
        <w:t xml:space="preserve">22. </w:t>
      </w:r>
      <w:r>
        <w:rPr>
          <w:b/>
          <w:bCs/>
          <w:u w:val="single"/>
          <w:lang w:val="el" w:eastAsia="el"/>
        </w:rPr>
        <w:t>Σύλλογος Εκτελωνιστών Θεσσαλονίκης, Κουντουριώτου 13 – Τ.Κ. 54626 – Θεσσαλονίκη, e mail:</w:t>
      </w:r>
      <w:hyperlink r:id="rId11" w:history="1">
        <w:r>
          <w:rPr>
            <w:rStyle w:val="Hyperlink"/>
            <w:b/>
            <w:bCs/>
            <w:color w:val="0000EE"/>
            <w:u w:color="0000EE"/>
            <w:lang w:val="el" w:eastAsia="el"/>
          </w:rPr>
          <w:t>info@ seth.gr</w:t>
        </w:r>
      </w:hyperlink>
    </w:p>
    <w:p>
      <w:pPr>
        <w:spacing w:before="240" w:after="240"/>
        <w:rPr>
          <w:lang w:val="el" w:eastAsia="el"/>
        </w:rPr>
      </w:pPr>
      <w:r>
        <w:rPr>
          <w:b/>
          <w:bCs/>
          <w:u w:val="single"/>
          <w:lang w:val="el" w:eastAsia="el"/>
        </w:rPr>
        <w:t xml:space="preserve">23. </w:t>
      </w:r>
      <w:r>
        <w:rPr>
          <w:b/>
          <w:bCs/>
          <w:u w:val="single"/>
          <w:lang w:val="el" w:eastAsia="el"/>
        </w:rPr>
        <w:t>Κεντρική Ένωση Επιμελητηρίων Ελλάδος, Ακαδημίας 6, TK 106 71 – Αθήνα, email:</w:t>
      </w:r>
      <w:hyperlink r:id="rId12"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24. </w:t>
      </w:r>
      <w:r>
        <w:rPr>
          <w:b/>
          <w:bCs/>
          <w:u w:val="single"/>
          <w:lang w:val="el" w:eastAsia="el"/>
        </w:rPr>
        <w:t>Οικονομικό Επιμελητήριο Ελλάδος,Μητροπόλεως 12-14, ΤΚ 105 63 –Αθήνα, e-mail:</w:t>
      </w:r>
      <w:hyperlink r:id="rId13"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25. </w:t>
      </w:r>
      <w:r>
        <w:rPr>
          <w:b/>
          <w:bCs/>
          <w:u w:val="single"/>
          <w:lang w:val="el" w:eastAsia="el"/>
        </w:rPr>
        <w:t>Εμπορικό και Βιομηχανικό Επιμελητήριο Αθηνών, Ακαδημίας 7, ΤΚ 106 71-Αθήνα ,e-mail:</w:t>
      </w:r>
      <w:hyperlink r:id="rId14" w:history="1">
        <w:r>
          <w:rPr>
            <w:rStyle w:val="Hyperlink"/>
            <w:b/>
            <w:bCs/>
            <w:color w:val="0000EE"/>
            <w:u w:color="0000EE"/>
            <w:lang w:val="el" w:eastAsia="el"/>
          </w:rPr>
          <w:t>info@acc i.gr</w:t>
        </w:r>
      </w:hyperlink>
    </w:p>
    <w:p>
      <w:pPr>
        <w:spacing w:before="240" w:after="240"/>
        <w:rPr>
          <w:lang w:val="el" w:eastAsia="el"/>
        </w:rPr>
      </w:pPr>
      <w:r>
        <w:rPr>
          <w:b/>
          <w:bCs/>
          <w:u w:val="single"/>
          <w:lang w:val="el" w:eastAsia="el"/>
        </w:rPr>
        <w:t xml:space="preserve">26. </w:t>
      </w:r>
      <w:r>
        <w:rPr>
          <w:b/>
          <w:bCs/>
          <w:u w:val="single"/>
          <w:lang w:val="el" w:eastAsia="el"/>
        </w:rPr>
        <w:t>Εμπορικό και Βιομηχανικό Επιμελητήριο Θεσσαλονίκης, Τσιμισκή 29, ΤΚ 54624, e-mail:</w:t>
      </w:r>
      <w:hyperlink r:id="rId15"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 xml:space="preserve">27. </w:t>
      </w:r>
      <w:r>
        <w:rPr>
          <w:b/>
          <w:bCs/>
          <w:u w:val="single"/>
          <w:lang w:val="el" w:eastAsia="el"/>
        </w:rPr>
        <w:t>Σύνδεσμος Βιομηχανιών Αττικής &amp; Πειραιά, Αμερικής 10 Τ.Κ. 10671 Αθήνα. e mail:</w:t>
      </w:r>
      <w:hyperlink r:id="rId16" w:history="1">
        <w:r>
          <w:rPr>
            <w:rStyle w:val="Hyperlink"/>
            <w:b/>
            <w:bCs/>
            <w:color w:val="0000EE"/>
            <w:u w:color="0000EE"/>
            <w:lang w:val="el" w:eastAsia="el"/>
          </w:rPr>
          <w:t>svap@ svap.gr</w:t>
        </w:r>
      </w:hyperlink>
    </w:p>
    <w:p>
      <w:pPr>
        <w:spacing w:before="240" w:after="240"/>
        <w:rPr>
          <w:lang w:val="el" w:eastAsia="el"/>
        </w:rPr>
      </w:pPr>
      <w:r>
        <w:rPr>
          <w:b/>
          <w:bCs/>
          <w:u w:val="single"/>
          <w:lang w:val="el" w:eastAsia="el"/>
        </w:rPr>
        <w:t xml:space="preserve">28. </w:t>
      </w:r>
      <w:r>
        <w:rPr>
          <w:b/>
          <w:bCs/>
          <w:u w:val="single"/>
          <w:lang w:val="el" w:eastAsia="el"/>
        </w:rPr>
        <w:t>Σύνδεσμος Βιομηχανιών Βορείου Ελλάδος, Πλ. Μοριχόβου 1 Τ.Κ. 54625 Θεσσαλονίκη, email:</w:t>
      </w:r>
      <w:hyperlink r:id="rId17" w:history="1">
        <w:r>
          <w:rPr>
            <w:rStyle w:val="Hyperlink"/>
            <w:b/>
            <w:bCs/>
            <w:color w:val="0000EE"/>
            <w:u w:color="0000EE"/>
            <w:lang w:val="el" w:eastAsia="el"/>
          </w:rPr>
          <w:t>info@ sbbe .gr</w:t>
        </w:r>
      </w:hyperlink>
    </w:p>
    <w:p>
      <w:pPr>
        <w:spacing w:before="240" w:after="240"/>
        <w:rPr>
          <w:lang w:val="el" w:eastAsia="el"/>
        </w:rPr>
      </w:pPr>
      <w:r>
        <w:rPr>
          <w:b/>
          <w:bCs/>
          <w:u w:val="single"/>
          <w:lang w:val="el" w:eastAsia="el"/>
        </w:rPr>
        <w:t xml:space="preserve">29. </w:t>
      </w:r>
      <w:r>
        <w:rPr>
          <w:b/>
          <w:bCs/>
          <w:u w:val="single"/>
          <w:lang w:val="el" w:eastAsia="el"/>
        </w:rPr>
        <w:t>Σύνδεσμος Βιομηχανιών Θεσσαλίας &amp; Στερεάς Ελλάδος, Ελ. Βενιζέλου 4, Βόλος 382 21, email:</w:t>
      </w:r>
      <w:hyperlink r:id="rId18" w:history="1">
        <w:r>
          <w:rPr>
            <w:rStyle w:val="Hyperlink"/>
            <w:b/>
            <w:bCs/>
            <w:color w:val="0000EE"/>
            <w:u w:color="0000EE"/>
            <w:lang w:val="el" w:eastAsia="el"/>
          </w:rPr>
          <w:t>info@ sbtse .gr</w:t>
        </w:r>
      </w:hyperlink>
    </w:p>
    <w:p>
      <w:pPr>
        <w:spacing w:before="240" w:after="240"/>
        <w:rPr>
          <w:lang w:val="el" w:eastAsia="el"/>
        </w:rPr>
      </w:pPr>
      <w:r>
        <w:rPr>
          <w:b/>
          <w:bCs/>
          <w:u w:val="single"/>
          <w:lang w:val="el" w:eastAsia="el"/>
        </w:rPr>
        <w:t xml:space="preserve">30. </w:t>
      </w:r>
      <w:r>
        <w:rPr>
          <w:b/>
          <w:bCs/>
          <w:u w:val="single"/>
          <w:lang w:val="el" w:eastAsia="el"/>
        </w:rPr>
        <w:t>Σύνδεσμος Επιχειρήσεων και Βιομηχανιών (ΣΕΒ)</w:t>
      </w:r>
    </w:p>
    <w:p>
      <w:pPr>
        <w:spacing w:before="240" w:after="240"/>
        <w:rPr>
          <w:lang w:val="el" w:eastAsia="el"/>
        </w:rPr>
      </w:pPr>
      <w:r>
        <w:rPr>
          <w:b/>
          <w:bCs/>
          <w:u w:val="single"/>
          <w:lang w:val="el" w:eastAsia="el"/>
        </w:rPr>
        <w:t>Ξενοφώντος 5, Τ.Κ. 105 57 Αθήνα, e-mail:</w:t>
      </w:r>
      <w:hyperlink r:id="rId19"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31. </w:t>
      </w:r>
      <w:r>
        <w:rPr>
          <w:b/>
          <w:bCs/>
          <w:u w:val="single"/>
          <w:lang w:val="el" w:eastAsia="el"/>
        </w:rPr>
        <w:t>ΓΣΕΒΕΕ, Αριστοτέλους 46, Τ.Κ. 104 33 Αθήνα, e-mail:</w:t>
      </w:r>
      <w:hyperlink r:id="rId20" w:history="1">
        <w:r>
          <w:rPr>
            <w:rStyle w:val="Hyperlink"/>
            <w:b/>
            <w:bCs/>
            <w:color w:val="0000EE"/>
            <w:u w:color="0000EE"/>
            <w:lang w:val="el" w:eastAsia="el"/>
          </w:rPr>
          <w:t>info@gsevee.gr</w:t>
        </w:r>
      </w:hyperlink>
    </w:p>
    <w:p>
      <w:pPr>
        <w:spacing w:before="240" w:after="240"/>
        <w:rPr>
          <w:lang w:val="el" w:eastAsia="el"/>
        </w:rPr>
      </w:pPr>
      <w:r>
        <w:rPr>
          <w:b/>
          <w:bCs/>
          <w:u w:val="single"/>
          <w:lang w:val="el" w:eastAsia="el"/>
        </w:rPr>
        <w:t xml:space="preserve">32. </w:t>
      </w:r>
      <w:r>
        <w:rPr>
          <w:b/>
          <w:bCs/>
          <w:u w:val="single"/>
          <w:lang w:val="el" w:eastAsia="el"/>
        </w:rPr>
        <w:t>Ομοσπονδία Βενζινοπωλών Ελλάδος (Ο.Β.Ε.), e mail:</w:t>
      </w:r>
      <w:hyperlink r:id="rId21" w:history="1">
        <w:r>
          <w:rPr>
            <w:rStyle w:val="Hyperlink"/>
            <w:b/>
            <w:bCs/>
            <w:color w:val="0000EE"/>
            <w:u w:color="0000EE"/>
            <w:lang w:val="el" w:eastAsia="el"/>
          </w:rPr>
          <w:t>info@ obe .gr</w:t>
        </w:r>
      </w:hyperlink>
    </w:p>
    <w:p>
      <w:pPr>
        <w:spacing w:before="240" w:after="240"/>
        <w:rPr>
          <w:lang w:val="el" w:eastAsia="el"/>
        </w:rPr>
      </w:pPr>
      <w:r>
        <w:rPr>
          <w:b/>
          <w:bCs/>
          <w:u w:val="single"/>
          <w:lang w:val="el" w:eastAsia="el"/>
        </w:rPr>
        <w:t xml:space="preserve">33. </w:t>
      </w:r>
      <w:r>
        <w:rPr>
          <w:b/>
          <w:bCs/>
          <w:u w:val="single"/>
          <w:lang w:val="el" w:eastAsia="el"/>
        </w:rPr>
        <w:t>Πανελλήνια Ομοσπονδία Πρατηριούχων Εμπόρων Καυσίμων (ΠΟΠΕΚ), email:</w:t>
      </w:r>
      <w:hyperlink r:id="rId22" w:history="1">
        <w:r>
          <w:rPr>
            <w:rStyle w:val="Hyperlink"/>
            <w:b/>
            <w:bCs/>
            <w:color w:val="0000EE"/>
            <w:u w:color="0000EE"/>
            <w:lang w:val="el" w:eastAsia="el"/>
          </w:rPr>
          <w:t>popek@ popek.gr</w:t>
        </w:r>
      </w:hyperlink>
    </w:p>
    <w:p>
      <w:pPr>
        <w:spacing w:before="240" w:after="240"/>
        <w:rPr>
          <w:lang w:val="el" w:eastAsia="el"/>
        </w:rPr>
      </w:pPr>
      <w:r>
        <w:rPr>
          <w:b/>
          <w:bCs/>
          <w:u w:val="single"/>
          <w:lang w:val="el" w:eastAsia="el"/>
        </w:rPr>
        <w:t>Σύνδεσμος Ελληνικών Χημικών Βιομηχανιών (Σ.Ε.Χ.Β.)</w:t>
      </w:r>
    </w:p>
    <w:p>
      <w:pPr>
        <w:spacing w:before="240" w:after="240"/>
        <w:rPr>
          <w:lang w:val="el" w:eastAsia="el"/>
        </w:rPr>
      </w:pPr>
      <w:r>
        <w:rPr>
          <w:b/>
          <w:bCs/>
          <w:u w:val="single"/>
          <w:lang w:val="el" w:eastAsia="el"/>
        </w:rPr>
        <w:t>Πατησίων 56, 106 82 Αθήνα</w:t>
      </w:r>
    </w:p>
    <w:p>
      <w:pPr>
        <w:spacing w:before="240" w:after="240"/>
        <w:rPr>
          <w:lang w:val="el" w:eastAsia="el"/>
        </w:rPr>
      </w:pPr>
      <w:r>
        <w:rPr>
          <w:b/>
          <w:bCs/>
          <w:u w:val="single"/>
          <w:lang w:val="el" w:eastAsia="el"/>
        </w:rPr>
        <w:t>Email:</w:t>
      </w:r>
      <w:hyperlink r:id="rId23" w:history="1">
        <w:r>
          <w:rPr>
            <w:rStyle w:val="Hyperlink"/>
            <w:b/>
            <w:bCs/>
            <w:color w:val="0000EE"/>
            <w:u w:color="0000EE"/>
            <w:lang w:val="el" w:eastAsia="el"/>
          </w:rPr>
          <w:t>haci@haci.gr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Γ.Δ.Τ. και Ε.Φ.Κ.</w:t>
      </w:r>
    </w:p>
    <w:p>
      <w:pPr>
        <w:spacing w:before="240" w:after="240"/>
        <w:rPr>
          <w:lang w:val="el" w:eastAsia="el"/>
        </w:rPr>
      </w:pPr>
      <w:r>
        <w:rPr>
          <w:b/>
          <w:bCs/>
          <w:u w:val="single"/>
          <w:lang w:val="el" w:eastAsia="el"/>
        </w:rPr>
        <w:t xml:space="preserve">3. </w:t>
      </w:r>
      <w:r>
        <w:rPr>
          <w:b/>
          <w:bCs/>
          <w:u w:val="single"/>
          <w:lang w:val="el" w:eastAsia="el"/>
        </w:rPr>
        <w:t>Δ/νση ΕΦΚ &amp; ΦΠΑ – Τμήμα Α’</w:t>
      </w:r>
    </w:p>
    <w:p>
      <w:pPr>
        <w:spacing w:before="240" w:after="240"/>
        <w:rPr>
          <w:lang w:val="el" w:eastAsia="el"/>
        </w:rPr>
      </w:pPr>
      <w:r>
        <w:rPr>
          <w:b/>
          <w:bCs/>
          <w:u w:val="single"/>
          <w:lang w:val="el" w:eastAsia="el"/>
        </w:rPr>
        <w:t xml:space="preserve">4. </w:t>
      </w:r>
      <w:r>
        <w:rPr>
          <w:b/>
          <w:bCs/>
          <w:u w:val="single"/>
          <w:lang w:val="el" w:eastAsia="el"/>
        </w:rPr>
        <w:t>Δ/νση Στρατηγικής Τελωνειακών Ελέγχων &amp; Παραβάσεων-Τμήμα Γ’</w:t>
      </w:r>
    </w:p>
    <w:p>
      <w:pPr>
        <w:spacing w:before="240" w:after="240"/>
        <w:rPr>
          <w:lang w:val="el" w:eastAsia="el"/>
        </w:rPr>
      </w:pPr>
      <w:r>
        <w:rPr>
          <w:b/>
          <w:bCs/>
          <w:u w:val="single"/>
          <w:lang w:val="el" w:eastAsia="el"/>
        </w:rPr>
        <w:t xml:space="preserve">5.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6. </w:t>
      </w:r>
      <w:r>
        <w:rPr>
          <w:b/>
          <w:bCs/>
          <w:u w:val="single"/>
          <w:lang w:val="el" w:eastAsia="el"/>
        </w:rPr>
        <w:t>Δ/νση Δασμολογικών Θεμάτων Ειδικών Καθεστώτων &amp; Απαλλαγών</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Α. ΟΔΗΓΙΕΣ ΠΡΟΣ ΤΟΥΣ ΟΙΚΟΝΟΜΙΚΟΥΣ ΦΟΡΕΙΣ ΓΙΑ ΤΗΝ ΥΠΟΒΟΛΗ ΤΗΣ «ΔΗΛΩΣΗΣ ΓΝΩΣΤΟΠΟΙΗΣΗΣ ΠΑΡΑΛΑΒΗΣ»</w:t>
      </w:r>
    </w:p>
    <w:p>
      <w:pPr>
        <w:spacing w:before="240" w:after="240"/>
        <w:rPr>
          <w:lang w:val="el" w:eastAsia="el"/>
        </w:rPr>
      </w:pPr>
      <w:r>
        <w:rPr>
          <w:b/>
          <w:bCs/>
          <w:u w:val="single"/>
          <w:lang w:val="el" w:eastAsia="el"/>
        </w:rPr>
        <w:t>Η «Δήλωση Γνωστοποίησης Παραλαβής» υποβάλλεται από τον υπόχρεο οικονομικό φορέα, μέσω της ιστοσελίδας της ΑΑΔΕ, από την αρχική σελίδα ηλεκτρονικής υποβολής παραστατικών, στην ακόλουθη διαδρομή:</w:t>
      </w:r>
    </w:p>
    <w:p>
      <w:pPr>
        <w:spacing w:before="240" w:after="240"/>
        <w:rPr>
          <w:lang w:val="el" w:eastAsia="el"/>
        </w:rPr>
      </w:pPr>
      <w:hyperlink r:id="rId24" w:history="1">
        <w:r>
          <w:rPr>
            <w:rStyle w:val="Hyperlink"/>
            <w:b/>
            <w:bCs/>
            <w:color w:val="0000EE"/>
            <w:u w:color="0000EE"/>
            <w:lang w:val="el" w:eastAsia="el"/>
          </w:rPr>
          <w:t>https://www.aade.gr/epiheiriseis/teloneiakes-ypiresies/ilektronikes-synallages-e-customs/</w:t>
        </w:r>
      </w:hyperlink>
      <w:hyperlink r:id="rId25" w:history="1">
        <w:r>
          <w:rPr>
            <w:rStyle w:val="Hyperlink"/>
            <w:b/>
            <w:bCs/>
            <w:color w:val="0000EE"/>
            <w:u w:color="0000EE"/>
            <w:lang w:val="el" w:eastAsia="el"/>
          </w:rPr>
          <w:t>teloneia/eidikoi-foroi-katanalosis-efk</w:t>
        </w:r>
      </w:hyperlink>
    </w:p>
    <w:p>
      <w:pPr>
        <w:spacing w:before="240" w:after="240"/>
        <w:rPr>
          <w:lang w:val="el" w:eastAsia="el"/>
        </w:rPr>
      </w:pPr>
      <w:r>
        <w:rPr>
          <w:b/>
          <w:bCs/>
          <w:u w:val="single"/>
          <w:lang w:val="el" w:eastAsia="el"/>
        </w:rPr>
        <w:t>ή εναλλακτικά με είσοδο στην αρχική σελίδα της ΑΑΔΕ</w:t>
      </w:r>
      <w:hyperlink r:id="rId26" w:history="1">
        <w:r>
          <w:rPr>
            <w:rStyle w:val="Hyperlink"/>
            <w:b/>
            <w:bCs/>
            <w:color w:val="0000EE"/>
            <w:u w:color="0000EE"/>
            <w:lang w:val="el" w:eastAsia="el"/>
          </w:rPr>
          <w:t>www .aade .gr</w:t>
        </w:r>
      </w:hyperlink>
      <w:r>
        <w:rPr>
          <w:b/>
          <w:bCs/>
          <w:u w:val="single"/>
          <w:lang w:val="el" w:eastAsia="el"/>
        </w:rPr>
        <w:t xml:space="preserve"> –&gt; Τελωνειακές Υπηρεσίες –&gt; Ηλεκτρονικές Συναλλαγές –&gt; Ειδικοί Φόροι Κατανάλωση (ΕΦΚ).</w:t>
      </w:r>
    </w:p>
    <w:p>
      <w:pPr>
        <w:spacing w:before="240" w:after="240"/>
        <w:rPr>
          <w:lang w:val="el" w:eastAsia="el"/>
        </w:rPr>
      </w:pPr>
      <w:r>
        <w:rPr>
          <w:b/>
          <w:bCs/>
          <w:u w:val="single"/>
          <w:lang w:val="el" w:eastAsia="el"/>
        </w:rPr>
        <w:t>Ο επιτηδευματίας κάνει «Είσοδο στην Εφαρμογή» με τους κωδικούς Taxisnet, ακολουθώντας στην συνέχεια τα παρακάτω βήματα:</w:t>
      </w:r>
    </w:p>
    <w:p>
      <w:pPr>
        <w:spacing w:before="240" w:after="240"/>
        <w:rPr>
          <w:lang w:val="el" w:eastAsia="el"/>
        </w:rPr>
      </w:pPr>
      <w:r>
        <w:rPr>
          <w:b/>
          <w:bCs/>
          <w:u w:val="single"/>
          <w:lang w:val="el" w:eastAsia="el"/>
        </w:rPr>
        <w:t xml:space="preserve">1. </w:t>
      </w:r>
      <w:r>
        <w:rPr>
          <w:b/>
          <w:bCs/>
          <w:u w:val="single"/>
          <w:lang w:val="el" w:eastAsia="el"/>
        </w:rPr>
        <w:t>Ενέργειες – Αίτηση με Συνημμένα Αρχεία από Οικονομικό Φορέα –&gt; Δημιουργία Συνυποβαλλόμενων Αρχείων</w:t>
      </w:r>
    </w:p>
    <w:p>
      <w:pPr>
        <w:spacing w:before="240" w:after="240"/>
        <w:rPr>
          <w:lang w:val="el" w:eastAsia="el"/>
        </w:rPr>
      </w:pPr>
      <w:r>
        <w:rPr>
          <w:b/>
          <w:bCs/>
          <w:u w:val="single"/>
          <w:lang w:val="el" w:eastAsia="el"/>
        </w:rPr>
        <w:t xml:space="preserve">2. </w:t>
      </w:r>
      <w:r>
        <w:rPr>
          <w:b/>
          <w:bCs/>
          <w:u w:val="single"/>
          <w:lang w:val="el" w:eastAsia="el"/>
        </w:rPr>
        <w:t>Στην καρτέλα «Δημιουργία Συνυποβαλλόμενων Αρχείων» συμπληρώνονται τα παρακάτω πεδία:</w:t>
      </w:r>
    </w:p>
    <w:p>
      <w:pPr>
        <w:spacing w:before="240" w:after="240"/>
        <w:rPr>
          <w:lang w:val="el" w:eastAsia="el"/>
        </w:rPr>
      </w:pPr>
      <w:r>
        <w:rPr>
          <w:b/>
          <w:bCs/>
          <w:u w:val="single"/>
          <w:lang w:val="el" w:eastAsia="el"/>
        </w:rPr>
        <w:t xml:space="preserve">• </w:t>
      </w:r>
      <w:r>
        <w:rPr>
          <w:b/>
          <w:bCs/>
          <w:u w:val="single"/>
          <w:lang w:val="el" w:eastAsia="el"/>
        </w:rPr>
        <w:t>Υποσύστημα : Ειδικοί Φόροι Κατανάλωσης</w:t>
      </w:r>
    </w:p>
    <w:p>
      <w:pPr>
        <w:spacing w:before="240" w:after="240"/>
        <w:rPr>
          <w:lang w:val="el" w:eastAsia="el"/>
        </w:rPr>
      </w:pPr>
      <w:r>
        <w:rPr>
          <w:b/>
          <w:bCs/>
          <w:u w:val="single"/>
          <w:lang w:val="el" w:eastAsia="el"/>
        </w:rPr>
        <w:t xml:space="preserve">• </w:t>
      </w:r>
      <w:r>
        <w:rPr>
          <w:b/>
          <w:bCs/>
          <w:u w:val="single"/>
          <w:lang w:val="el" w:eastAsia="el"/>
        </w:rPr>
        <w:t>Τύπος Αρχείου: Αρχείο PDF</w:t>
      </w:r>
    </w:p>
    <w:p>
      <w:pPr>
        <w:spacing w:before="240" w:after="240"/>
        <w:rPr>
          <w:lang w:val="el" w:eastAsia="el"/>
        </w:rPr>
      </w:pPr>
      <w:r>
        <w:rPr>
          <w:b/>
          <w:bCs/>
          <w:u w:val="single"/>
          <w:lang w:val="el" w:eastAsia="el"/>
        </w:rPr>
        <w:t xml:space="preserve">• </w:t>
      </w:r>
      <w:r>
        <w:rPr>
          <w:b/>
          <w:bCs/>
          <w:u w:val="single"/>
          <w:lang w:val="el" w:eastAsia="el"/>
        </w:rPr>
        <w:t>Ρόλος: δεν χρειάζεται να επιλεγεί τιμή - παραμένει αυτή με τις προεπιλεγμένες παύλες</w:t>
      </w:r>
    </w:p>
    <w:p>
      <w:pPr>
        <w:spacing w:before="240" w:after="240"/>
        <w:rPr>
          <w:lang w:val="el" w:eastAsia="el"/>
        </w:rPr>
      </w:pPr>
      <w:r>
        <w:rPr>
          <w:b/>
          <w:bCs/>
          <w:u w:val="single"/>
          <w:lang w:val="el" w:eastAsia="el"/>
        </w:rPr>
        <w:t xml:space="preserve">• </w:t>
      </w:r>
      <w:r>
        <w:rPr>
          <w:b/>
          <w:bCs/>
          <w:u w:val="single"/>
          <w:lang w:val="el" w:eastAsia="el"/>
        </w:rPr>
        <w:t>Τύπος Επιχειρηματικού Κλειδιού: «LRN»</w:t>
      </w:r>
    </w:p>
    <w:p>
      <w:pPr>
        <w:spacing w:before="240" w:after="240"/>
        <w:rPr>
          <w:lang w:val="el" w:eastAsia="el"/>
        </w:rPr>
      </w:pPr>
      <w:r>
        <w:rPr>
          <w:b/>
          <w:bCs/>
          <w:u w:val="single"/>
          <w:lang w:val="el" w:eastAsia="el"/>
        </w:rPr>
        <w:t xml:space="preserve">• </w:t>
      </w:r>
      <w:r>
        <w:rPr>
          <w:b/>
          <w:bCs/>
          <w:u w:val="single"/>
          <w:lang w:val="el" w:eastAsia="el"/>
        </w:rPr>
        <w:t>Επιχειρηματικό κλειδί: DFXXXXXXXXX (όπου ΧΧΧΧΧΧΧΧΧΧ ο Αριθμός Φορολογικού Μητρώου της εταιρείας) – συμπληρώνεται πάντα το ίδιο χωρίς κενά</w:t>
      </w:r>
    </w:p>
    <w:p>
      <w:pPr>
        <w:spacing w:before="240" w:after="240"/>
        <w:rPr>
          <w:lang w:val="el" w:eastAsia="el"/>
        </w:rPr>
      </w:pPr>
      <w:r>
        <w:rPr>
          <w:b/>
          <w:bCs/>
          <w:u w:val="single"/>
          <w:lang w:val="el" w:eastAsia="el"/>
        </w:rPr>
        <w:t xml:space="preserve">• </w:t>
      </w:r>
      <w:r>
        <w:rPr>
          <w:b/>
          <w:bCs/>
          <w:u w:val="single"/>
          <w:lang w:val="el" w:eastAsia="el"/>
        </w:rPr>
        <w:t>Ημερομηνία Υποβολής : η τρέχουσα ημερομηνία ηλεκτρονικής υποβολής της «Δήλωσης Γνωστοποίησης Παραλαβής»</w:t>
      </w:r>
    </w:p>
    <w:p>
      <w:pPr>
        <w:spacing w:before="240" w:after="240"/>
        <w:rPr>
          <w:lang w:val="el" w:eastAsia="el"/>
        </w:rPr>
      </w:pPr>
      <w:r>
        <w:rPr>
          <w:b/>
          <w:bCs/>
          <w:u w:val="single"/>
          <w:lang w:val="el" w:eastAsia="el"/>
        </w:rPr>
        <w:t>Στο πεδίο «Επιλογή Αρχείων» με την «Προσθήκη» επιλέγει το αρχείο που θέλει να επισυνάψει (Δήλωση Γνωστοποίησης Παραλαβής), κλικάρει «Εισαγωγή» και στη συνέχεια «Αποστολή Συνημμένων».</w:t>
      </w:r>
    </w:p>
    <w:p>
      <w:pPr>
        <w:spacing w:before="240" w:after="240"/>
        <w:rPr>
          <w:lang w:val="el" w:eastAsia="el"/>
        </w:rPr>
      </w:pPr>
      <w:r>
        <w:rPr>
          <w:b/>
          <w:bCs/>
          <w:u w:val="single"/>
          <w:lang w:val="el" w:eastAsia="el"/>
        </w:rPr>
        <w:t>Στην οθόνη εμφανίζεται μήνυμα «Η αποστολή του αρχείου έγινε επιτυχώς».</w:t>
      </w:r>
    </w:p>
    <w:p>
      <w:pPr>
        <w:spacing w:before="240" w:after="240"/>
        <w:rPr>
          <w:lang w:val="el" w:eastAsia="el"/>
        </w:rPr>
      </w:pPr>
      <w:r>
        <w:rPr>
          <w:b/>
          <w:bCs/>
          <w:u w:val="single"/>
          <w:lang w:val="el" w:eastAsia="el"/>
        </w:rPr>
        <w:t xml:space="preserve">Β. </w:t>
      </w:r>
      <w:r>
        <w:rPr>
          <w:b/>
          <w:bCs/>
          <w:u w:val="single"/>
          <w:lang w:val="el" w:eastAsia="el"/>
        </w:rPr>
        <w:t>ΟΔΗΓΙΕΣ ΠΡΟΣ ΤΙΣ ΑΡΜΟΔΙΕΣ ΤΕΛΩΝΕΙΑΚΕΣ ΑΡΧΕΣ ΓΙΑ ΤΗΝ ΠΡΟΣΒΑΣΗ ΣΤΑ ΣΤΟΙΧΕΙΑ ΤΩΝ ΔΗΛΩΣΕΩΝ ΓΝΩΣΤΟΠΟΙΗΣΗΣ ΠΑΡΑΛΑΒΗΣ</w:t>
      </w:r>
    </w:p>
    <w:p>
      <w:pPr>
        <w:spacing w:before="240" w:after="240"/>
        <w:rPr>
          <w:lang w:val="el" w:eastAsia="el"/>
        </w:rPr>
      </w:pPr>
      <w:r>
        <w:rPr>
          <w:b/>
          <w:bCs/>
          <w:u w:val="single"/>
          <w:lang w:val="el" w:eastAsia="el"/>
        </w:rPr>
        <w:t xml:space="preserve">Οι αρμόδιες τελωνειακές αρχές για την εφαρμογή της υπό στοιχεία Α.1130/25-08-2023 απόφασης, από το περιβάλλον </w:t>
      </w:r>
      <w:r>
        <w:rPr>
          <w:b/>
          <w:bCs/>
          <w:u w:val="single"/>
          <w:lang w:val="el" w:eastAsia="el"/>
        </w:rPr>
        <w:t>εσωτερικών χρηστών (Τελωνείου)</w:t>
      </w:r>
      <w:r>
        <w:rPr>
          <w:b/>
          <w:bCs/>
          <w:u w:val="single"/>
          <w:lang w:val="el" w:eastAsia="el"/>
        </w:rPr>
        <w:t>, μέσω της λειτουργίας «Σύνδεσμοι - Συνυποβαλλόμενα Αρχεία» επιλέγουν «Αναζήτηση Συνυποβαλλόμενων Αρχείων» και συμπληρώνοντας τα επιθυμητά κριτήρια (ημερομηνία υποβολής από …/…/…., Επιχειρηματικό κλειδί, το οποίο εμπεριέχει το ΑΦΜ της εταιρείας DFXXXXXXXXX) μπορούν να ανακτούν τα υποβαλλόμενα αρχεία σχετικά με τη «Δήλωση Γνωστοποίησης Παραλαβής».</w:t>
      </w:r>
    </w:p>
    <w:p>
      <w:pPr>
        <w:spacing w:before="240" w:after="240"/>
        <w:rPr>
          <w:lang w:val="el" w:eastAsia="el"/>
        </w:rPr>
      </w:pPr>
      <w:r>
        <w:rPr>
          <w:b/>
          <w:bCs/>
          <w:u w:val="single"/>
          <w:lang w:val="el" w:eastAsia="el"/>
        </w:rPr>
        <w:t>ΠΑΡΑΡΤΗΜΑ ΙΙ</w:t>
      </w:r>
    </w:p>
    <w:p>
      <w:pPr>
        <w:pStyle w:val="Heading1"/>
        <w:spacing w:before="240" w:after="240"/>
        <w:rPr>
          <w:lang w:val="el" w:eastAsia="el"/>
        </w:rPr>
      </w:pPr>
      <w:r>
        <w:rPr>
          <w:b/>
          <w:bCs/>
          <w:u w:val="single"/>
          <w:lang w:val="el" w:eastAsia="el"/>
        </w:rPr>
        <w:t xml:space="preserve">ΜΕΡΟΣ </w:t>
      </w:r>
    </w:p>
    <w:p>
      <w:pPr>
        <w:pStyle w:val="Heading1"/>
        <w:spacing w:before="240" w:after="240"/>
        <w:rPr>
          <w:lang w:val="el" w:eastAsia="el"/>
        </w:rPr>
      </w:pPr>
      <w:r>
        <w:rPr>
          <w:b/>
          <w:bCs/>
          <w:u w:val="single"/>
          <w:lang w:val="el" w:eastAsia="el"/>
        </w:rPr>
        <w:t>Α.</w:t>
      </w:r>
    </w:p>
    <w:p>
      <w:pPr>
        <w:spacing w:before="240" w:after="240"/>
        <w:rPr>
          <w:lang w:val="el" w:eastAsia="el"/>
        </w:rPr>
      </w:pPr>
      <w:r>
        <w:rPr>
          <w:b/>
          <w:bCs/>
          <w:u w:val="single"/>
          <w:lang w:val="el" w:eastAsia="el"/>
        </w:rPr>
        <w:t>Αναφορικά με τους κωδικούς Σ.Ο. που αναφέρονται στην παρούσα, σας γνωρίζουμε ότι αυτοί περιέχονται στο Κοινό Δασμολόγιο των Κρατών Μελών της Ε. Ένωσης, το οποίο είναι γνωστό και ως Συνδυασμένη Ονοματολογία (Σ.Ο.), και μπορούν να αναζητηθούν στην ιστοσελίδα της Επίσημης Εφημερίδας της Ε. Ένωσης, [Κανονισμός (ΕΟΚ) αριθ. 2658/87 του Συμβουλίου, όπως τροποποιήθηκε και ισχύει από τον Εκτελεστικό Κανονισμό (ΕΕ) 2022/1998]. Ειδικότερα:</w:t>
      </w:r>
    </w:p>
    <w:p>
      <w:pPr>
        <w:spacing w:before="240" w:after="240"/>
        <w:rPr>
          <w:lang w:val="el" w:eastAsia="el"/>
        </w:rPr>
      </w:pPr>
      <w:r>
        <w:rPr>
          <w:b/>
          <w:bCs/>
          <w:u w:val="single"/>
          <w:lang w:val="el" w:eastAsia="el"/>
        </w:rPr>
        <w:t>Οι κωδικοί Σ.Ο. 2710 19 71 έως και 2710 19 99 αφορούν βαριά λάδια. Συγκεκριμένα, οι περιγραφές των προϊόντων των ανωτέρω κωδικών έχουν ως εξής:</w:t>
      </w:r>
    </w:p>
    <w:p>
      <w:pPr>
        <w:spacing w:before="240" w:after="240"/>
        <w:rPr>
          <w:lang w:val="el" w:eastAsia="el"/>
        </w:rPr>
      </w:pPr>
      <w:r>
        <w:rPr>
          <w:b/>
          <w:bCs/>
          <w:u w:val="single"/>
          <w:lang w:val="el" w:eastAsia="el"/>
        </w:rPr>
        <w:t xml:space="preserve">• </w:t>
      </w:r>
      <w:r>
        <w:rPr>
          <w:b/>
          <w:bCs/>
          <w:u w:val="single"/>
          <w:lang w:val="el" w:eastAsia="el"/>
        </w:rPr>
        <w:t>ο κωδικός Σ.Ο. 2710 19 71 αναφέρεται σε «</w:t>
      </w:r>
      <w:r>
        <w:rPr>
          <w:b/>
          <w:bCs/>
          <w:i/>
          <w:iCs/>
          <w:u w:val="single"/>
          <w:lang w:val="el" w:eastAsia="el"/>
        </w:rPr>
        <w:t xml:space="preserve">λιπαντικά και άλλα λάδια που προορίζονται να υποστούν </w:t>
      </w:r>
      <w:r>
        <w:rPr>
          <w:b/>
          <w:bCs/>
          <w:i/>
          <w:iCs/>
          <w:u w:val="single"/>
          <w:lang w:val="el" w:eastAsia="el"/>
        </w:rPr>
        <w:t>καθορισμένη κατεργασία</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75 αναφέρεται σε «</w:t>
      </w:r>
      <w:r>
        <w:rPr>
          <w:b/>
          <w:bCs/>
          <w:i/>
          <w:iCs/>
          <w:u w:val="single"/>
          <w:lang w:val="el" w:eastAsia="el"/>
        </w:rPr>
        <w:t xml:space="preserve">λάδια λιπαντικά και άλλα λάδια που προορίζονται να υποστούν χημικό μετασχηματισμό με κατεργασία διαφορετική από εκείνη που καθορίζεται για τη διάκριση </w:t>
      </w:r>
      <w:r>
        <w:rPr>
          <w:b/>
          <w:bCs/>
          <w:i/>
          <w:iCs/>
          <w:u w:val="single"/>
          <w:lang w:val="el" w:eastAsia="el"/>
        </w:rPr>
        <w:t>2710 19 71</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81 αναφέρεται σε «</w:t>
      </w:r>
      <w:r>
        <w:rPr>
          <w:b/>
          <w:bCs/>
          <w:i/>
          <w:iCs/>
          <w:u w:val="single"/>
          <w:lang w:val="el" w:eastAsia="el"/>
        </w:rPr>
        <w:t>λάδια κινητήρων, λάδια συμπιεστών και λάδια στροβίλων</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83 αναφέρεται σε «</w:t>
      </w:r>
      <w:r>
        <w:rPr>
          <w:b/>
          <w:bCs/>
          <w:i/>
          <w:iCs/>
          <w:u w:val="single"/>
          <w:lang w:val="el" w:eastAsia="el"/>
        </w:rPr>
        <w:t>υδραυλικά λάδια</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85 αναφέρεται σε «</w:t>
      </w:r>
      <w:r>
        <w:rPr>
          <w:b/>
          <w:bCs/>
          <w:i/>
          <w:iCs/>
          <w:u w:val="single"/>
          <w:lang w:val="el" w:eastAsia="el"/>
        </w:rPr>
        <w:t>λευκά λάδια και παραφινέλαιο</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87 αναφέρεται σε «</w:t>
      </w:r>
      <w:r>
        <w:rPr>
          <w:b/>
          <w:bCs/>
          <w:i/>
          <w:iCs/>
          <w:u w:val="single"/>
          <w:lang w:val="el" w:eastAsia="el"/>
        </w:rPr>
        <w:t>λάδια κιβωτίων ταχυτήτων</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91 αναφέρεται σε «</w:t>
      </w:r>
      <w:r>
        <w:rPr>
          <w:b/>
          <w:bCs/>
          <w:i/>
          <w:iCs/>
          <w:u w:val="single"/>
          <w:lang w:val="el" w:eastAsia="el"/>
        </w:rPr>
        <w:t>λάδια κατεργασίας μετάλλων, λάδια για την αφαίρεση καλουπιών και λάδια αντιδιαβρωτικής προστασίας</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ο κωδικός Σ.Ο. 2710 19 93 αναφέρεται σε «</w:t>
      </w:r>
      <w:r>
        <w:rPr>
          <w:b/>
          <w:bCs/>
          <w:i/>
          <w:iCs/>
          <w:u w:val="single"/>
          <w:lang w:val="el" w:eastAsia="el"/>
        </w:rPr>
        <w:t>ηλεκτρομονωτικά λάδια</w:t>
      </w:r>
      <w:r>
        <w:rPr>
          <w:b/>
          <w:bCs/>
          <w:u w:val="single"/>
          <w:lang w:val="el" w:eastAsia="el"/>
        </w:rPr>
        <w:t>» και, τέλος,</w:t>
      </w:r>
    </w:p>
    <w:p>
      <w:pPr>
        <w:spacing w:before="240" w:after="240"/>
        <w:rPr>
          <w:lang w:val="el" w:eastAsia="el"/>
        </w:rPr>
      </w:pPr>
      <w:r>
        <w:rPr>
          <w:b/>
          <w:bCs/>
          <w:u w:val="single"/>
          <w:lang w:val="el" w:eastAsia="el"/>
        </w:rPr>
        <w:t xml:space="preserve">• </w:t>
      </w:r>
      <w:r>
        <w:rPr>
          <w:b/>
          <w:bCs/>
          <w:u w:val="single"/>
          <w:lang w:val="el" w:eastAsia="el"/>
        </w:rPr>
        <w:t>ο κωδικός Σ.Ο. 2710 19 99 αναφέρεται σε «</w:t>
      </w:r>
      <w:r>
        <w:rPr>
          <w:b/>
          <w:bCs/>
          <w:i/>
          <w:iCs/>
          <w:u w:val="single"/>
          <w:lang w:val="el" w:eastAsia="el"/>
        </w:rPr>
        <w:t>άλλα λιπαντικά λάδια καθώς και άλλα λάδια που προορίζονται για άλλες από τις ανωτέρω χρήσεις</w:t>
      </w:r>
      <w:r>
        <w:rPr>
          <w:b/>
          <w:bCs/>
          <w:u w:val="single"/>
          <w:lang w:val="el" w:eastAsia="el"/>
        </w:rPr>
        <w:t>».</w:t>
      </w:r>
    </w:p>
    <w:p>
      <w:pPr>
        <w:spacing w:before="240" w:after="240"/>
        <w:rPr>
          <w:lang w:val="el" w:eastAsia="el"/>
        </w:rPr>
      </w:pPr>
      <w:r>
        <w:rPr>
          <w:b/>
          <w:bCs/>
          <w:u w:val="single"/>
          <w:lang w:val="el" w:eastAsia="el"/>
        </w:rPr>
        <w:t>*Αναφορικά με τον όρο «καθορισμένη κατεργασία» βλ. ΜΕΡΟΣ Β’</w:t>
      </w:r>
    </w:p>
    <w:p>
      <w:pPr>
        <w:spacing w:before="240" w:after="240"/>
        <w:rPr>
          <w:lang w:val="el" w:eastAsia="el"/>
        </w:rPr>
      </w:pPr>
      <w:r>
        <w:rPr>
          <w:b/>
          <w:bCs/>
          <w:u w:val="single"/>
          <w:lang w:val="el" w:eastAsia="el"/>
        </w:rPr>
        <w:t>Σε ό,τι αφορά την κλάση 3403, η περιγραφή αυτής, όπως δίδεται στη Σ.Ο., έχει ως κάτωθι:</w:t>
      </w:r>
    </w:p>
    <w:p>
      <w:pPr>
        <w:spacing w:before="240" w:after="240"/>
        <w:rPr>
          <w:lang w:val="el" w:eastAsia="el"/>
        </w:rPr>
      </w:pPr>
      <w:r>
        <w:rPr>
          <w:b/>
          <w:bCs/>
          <w:u w:val="single"/>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 ή περισσότερο κατά βάρος λάδια από πετρέλαιο ή από ασφαλτούχα ορυκτά».</w:t>
      </w:r>
    </w:p>
    <w:p>
      <w:pPr>
        <w:spacing w:before="240" w:after="240"/>
        <w:rPr>
          <w:lang w:val="el" w:eastAsia="el"/>
        </w:rPr>
      </w:pPr>
      <w:r>
        <w:rPr>
          <w:b/>
          <w:bCs/>
          <w:u w:val="single"/>
          <w:lang w:val="el" w:eastAsia="el"/>
        </w:rPr>
        <w:t>Επιπλέον, η περιγραφή της κλάσης 3814 στη Σ.Ο. έχει ως κάτωθι:</w:t>
      </w:r>
    </w:p>
    <w:p>
      <w:pPr>
        <w:spacing w:before="240" w:after="240"/>
        <w:rPr>
          <w:lang w:val="el" w:eastAsia="el"/>
        </w:rPr>
      </w:pPr>
      <w:r>
        <w:rPr>
          <w:b/>
          <w:bCs/>
          <w:u w:val="single"/>
          <w:lang w:val="el" w:eastAsia="el"/>
        </w:rPr>
        <w:t>«Διαλυτικά και αραιωτικά οργανικά μείγματα, που δεν κατονομάζονται ούτε περιλαμβάνονται αλλού. Παρασκευάσματα για την αφαίρεση των χρωμάτων επίχρισης ή των βερνικιών».</w:t>
      </w:r>
    </w:p>
    <w:p>
      <w:pPr>
        <w:spacing w:before="240" w:after="240"/>
        <w:rPr>
          <w:lang w:val="el" w:eastAsia="el"/>
        </w:rPr>
      </w:pPr>
      <w:r>
        <w:rPr>
          <w:b/>
          <w:bCs/>
          <w:u w:val="single"/>
          <w:lang w:val="el" w:eastAsia="el"/>
        </w:rPr>
        <w:t>Επισυνάπτονται τα σχετικά αποσπάσματα του Δασμολογίου σε μορφή pdf.</w:t>
      </w:r>
    </w:p>
    <w:p>
      <w:pPr>
        <w:pStyle w:val="Heading1"/>
        <w:spacing w:before="240" w:after="240"/>
        <w:rPr>
          <w:lang w:val="el" w:eastAsia="el"/>
        </w:rPr>
      </w:pPr>
      <w:r>
        <w:rPr>
          <w:b/>
          <w:bCs/>
          <w:u w:val="single"/>
          <w:lang w:val="el" w:eastAsia="el"/>
        </w:rPr>
        <w:t xml:space="preserve">ΜΕΡΟΣ </w:t>
      </w:r>
    </w:p>
    <w:p>
      <w:pPr>
        <w:pStyle w:val="Heading1"/>
        <w:spacing w:before="240" w:after="240"/>
        <w:rPr>
          <w:lang w:val="el" w:eastAsia="el"/>
        </w:rPr>
      </w:pPr>
      <w:r>
        <w:rPr>
          <w:b/>
          <w:bCs/>
          <w:u w:val="single"/>
          <w:lang w:val="el" w:eastAsia="el"/>
        </w:rPr>
        <w:t>Β.</w:t>
      </w:r>
    </w:p>
    <w:p>
      <w:pPr>
        <w:spacing w:before="240" w:after="240"/>
        <w:rPr>
          <w:lang w:val="el" w:eastAsia="el"/>
        </w:rPr>
      </w:pPr>
      <w:r>
        <w:rPr>
          <w:b/>
          <w:bCs/>
          <w:u w:val="single"/>
          <w:lang w:val="el" w:eastAsia="el"/>
        </w:rPr>
        <w:t>Ο όρος «καθορισμένη κατεργασία» εξηγείται στη Συμπληρωματική Σημείωση 5 του Κεφαλαίου 27 της Σ.Ο. ως ακολούθως:</w:t>
      </w:r>
    </w:p>
    <w:p>
      <w:pPr>
        <w:spacing w:before="240" w:after="240"/>
        <w:rPr>
          <w:lang w:val="el" w:eastAsia="el"/>
        </w:rPr>
      </w:pPr>
      <w:r>
        <w:rPr>
          <w:b/>
          <w:bCs/>
          <w:u w:val="single"/>
          <w:lang w:val="el" w:eastAsia="el"/>
        </w:rPr>
        <w:t xml:space="preserve">“ </w:t>
      </w:r>
      <w:r>
        <w:rPr>
          <w:b/>
          <w:bCs/>
          <w:u w:val="single"/>
          <w:lang w:val="el" w:eastAsia="el"/>
        </w:rPr>
        <w:t>5. Ως «καθορισμένη κατεργασία», σύμφωνα με την έννοια των κλάσεων 2710, 2711 και 2712, θεωρούνται οι παρακάτω επεξεργασίες: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η υπό κενό απόσταξη</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επαναπόσταξη με μέθοδο πολύ προωθημένης κλασματοποίησης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η πυρόλυση</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ο ανασχηματισμός ή αναμόρφωση</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η εκχύλιση με εκλεκτικούς διαλύτες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η επεξεργασία που περιλαμβάνει όλες τις παρακάτω πράξεις: κατεργασία με πυκνό θειικό οξύ ή με ατμίζον θειικό οξύ ή με τριοξείδιο του θείου (θειικός ανυδρίτης), εξουδετέρωση με αλκαλικά μέσα, αποχρωματισμό και καθαρισμό με γη ενεργό από τη φύση της, με ενεργοποιημένη γη, με ενεργό άνθρακα ή βωξίτη</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ο πολυμερισμός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η αλκυλίωση</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ο ισομερισμός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η αποθείωση, με χρήση υδρογόνου, αποκλειστικά για προϊόντα των διακρίσεων 2710 19 31 έως 2710 19 99, με την οποία πετυχαίνετε μείωση τουλάχιστον κατά 85 % της περιεκτικότητας σε θείο των προϊόντων που υφίστανται κατεργασία (μέθοδος EN ISO 20846, EN ISO 20884 ή EN ISO 14596 ή EN ISO 24260, EN ISO 20847 και EN ISO 8754)</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η αποπαραφίνωση με μέθοδο διαφορετική από την απλή διήθηση, αποκλειστικά για προϊόντα της κλάσης 2710</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η κατεργασία με υδρογόνο, διαφορετική από την αποθείωση, αποκλειστικά για προϊόντα των διακρίσεων 2710 19 31 έως 2710 19 99, κατά την οποία το υδρογόνο μετέχει ενεργά σε χημική αντίδραση, που πραγματοποιείται με πίεση ανώτερη των 20 bar και σε θερμοκρασία ανώτερη των 250 βαθμών Κελσίου, με τη βοήθεια καταλύτη. Οι τελικές κατεργασίες με υδρογόνο των λιπαντικών λαδιών των διακρίσεων 2710 19 71 έως 2710 19 99, που έχουν σκοπό κυρίως τη βελτίωση του χρώματος ή τη σταθεροποίηση (π.χ. η τελική επεξεργασία με υδρογόνο ή ο αποχρωματισμός), δεν θεωρούνται, αντίθετα, ως καθορισμένες κατεργασίες</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η απόσταξη με ατμοσφαιρική πίεση, ειδικά για προϊόντα των διακρίσεων 2710 19 51 έως 2710 19 67, με τον όρο ότι αυτά αποστάζουν κατ' όγκο, με τις απώλειες, λιγότερο του 30 % στους 300 βαθμούς Κελσίου, σύμφωνα με τη μέθοδο ISO 3405 (ισοδύναμη προς τη μέθοδο ASTM D 86). Εάν τα προϊόντα αυτά αποστάζουν κατ' όγκο, με τις απώλειες, 30 % ή και περισσότερο στους 300 βαθμούς Κελσίου, σύμφωνα με τη μέθοδο ISO 3405 (ισοδύναμη προς τη μέθοδο ASTM D 86), οι ποσότητες των προϊόντων, τα οποία ενδεχόμενα θα αποκτιούνταν με απόσταξη κάτω από ατμοσφαιρική πίεση και που υπάγονται στις διακρίσεις 2710 12 11 έως 2710 12 90 ή 2710 19 11 έως 2710 19 29, υπόκεινται στους δασμούς των διακρίσεων 2710 19 62 έως 2710 19 67, ανάλογα με το είδος και την αξία των προϊόντων που υπέστησαν επεξεργασία και με βάση το καθαρό βάρος των προϊόντων που αποκτήθηκαν. Η διάταξη αυτή δεν εφαρμόζεται για τα προϊόντα που αποκτήθηκαν και προορίζονται να υποστούν αργότερα καθορισμένη κατεργασία ή χημικό μετασχηματισμό με τρόπο διαφορετικό απ' αυτούς που καθορίζονται παραπάνω, μέσα σε προθεσμία το πολύ έξι μηνών και με όρους που καθορίζονται από τις αρμόδιες αρχές</w:t>
      </w:r>
    </w:p>
    <w:p>
      <w:pPr>
        <w:pStyle w:val="StructureList1"/>
        <w:spacing w:before="120" w:after="0"/>
        <w:rPr>
          <w:lang w:val="el" w:eastAsia="el"/>
        </w:rPr>
      </w:pPr>
      <w:r>
        <w:rPr>
          <w:b/>
          <w:bCs/>
          <w:u w:val="single"/>
          <w:lang w:val="el" w:eastAsia="el"/>
        </w:rPr>
        <w:t>ιδ)</w:t>
      </w:r>
      <w:r>
        <w:rPr>
          <w:b/>
          <w:bCs/>
          <w:u w:val="single"/>
          <w:lang w:val="en" w:eastAsia="en"/>
        </w:rPr>
        <w:tab/>
      </w:r>
      <w:r>
        <w:rPr>
          <w:b/>
          <w:bCs/>
          <w:u w:val="single"/>
          <w:lang w:val="el" w:eastAsia="el"/>
        </w:rPr>
        <w:t>η κατεργασία με ηλεκτρική εκκένωση ρεύματος υψηλής συχνότητας, αποκλειστικά για προϊόντα των διακρίσεων 2710 19 71 έως 2710 19 99</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η αφαίρεση του λαδιού με κλασματική κρυστάλλωση, αποκλειστικά για τα προϊόντα που υπάγονται στη διάκριση 2712 90 31.</w:t>
      </w:r>
    </w:p>
    <w:p>
      <w:pPr>
        <w:spacing w:before="240" w:after="240"/>
        <w:rPr>
          <w:lang w:val="el" w:eastAsia="el"/>
        </w:rPr>
      </w:pPr>
      <w:r>
        <w:rPr>
          <w:b/>
          <w:bCs/>
          <w:u w:val="single"/>
          <w:lang w:val="el" w:eastAsia="el"/>
        </w:rPr>
        <w:t>Σε περίπτωση που, για τεχνικούς λόγους, θα χρειαζόταν να προηγηθεί από τις κατεργασίες που προαναφέρθηκαν κάποια άλλη προπαρασκευή, η απαλλαγή δεν εφαρμόζεται παρά μόνο για τις ποσότητες των προϊόντων εκείνων που έχουν υποστεί πραγματικά τις κατεργασίες που καθορίζονται παραπάνω, για τις οποίες και προορίζονται τα προϊόντα αυτά. Απαλλάσσονται επίσης οι απώλειες που τυχόν έγιναν στη διάρκεια της προηγούμενης προπαρασκευής.”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pa.gr" TargetMode="External" /><Relationship Id="rId11" Type="http://schemas.openxmlformats.org/officeDocument/2006/relationships/hyperlink" Target="mailto:info@seth.gr" TargetMode="External" /><Relationship Id="rId12" Type="http://schemas.openxmlformats.org/officeDocument/2006/relationships/hyperlink" Target="mailto:keeuhcci@uhc.gr" TargetMode="External" /><Relationship Id="rId13" Type="http://schemas.openxmlformats.org/officeDocument/2006/relationships/hyperlink" Target="mailto:oee@oee.gr" TargetMode="External" /><Relationship Id="rId14" Type="http://schemas.openxmlformats.org/officeDocument/2006/relationships/hyperlink" Target="mailto:info@acci.gr" TargetMode="External" /><Relationship Id="rId15" Type="http://schemas.openxmlformats.org/officeDocument/2006/relationships/hyperlink" Target="mailto:root@ebeth.gr" TargetMode="External" /><Relationship Id="rId16" Type="http://schemas.openxmlformats.org/officeDocument/2006/relationships/hyperlink" Target="mailto:svap@svap.gr" TargetMode="External" /><Relationship Id="rId17" Type="http://schemas.openxmlformats.org/officeDocument/2006/relationships/hyperlink" Target="mailto:info@sbbe.gr" TargetMode="External" /><Relationship Id="rId18" Type="http://schemas.openxmlformats.org/officeDocument/2006/relationships/hyperlink" Target="mailto:info@sbtse.gr" TargetMode="External" /><Relationship Id="rId19" Type="http://schemas.openxmlformats.org/officeDocument/2006/relationships/hyperlink" Target="mailto:info@sev.org.gr" TargetMode="External" /><Relationship Id="rId2" Type="http://schemas.openxmlformats.org/officeDocument/2006/relationships/webSettings" Target="webSettings.xml" /><Relationship Id="rId20" Type="http://schemas.openxmlformats.org/officeDocument/2006/relationships/hyperlink" Target="mailto:info@gsevee.gr" TargetMode="External" /><Relationship Id="rId21" Type="http://schemas.openxmlformats.org/officeDocument/2006/relationships/hyperlink" Target="mailto:info@obe.gr" TargetMode="External" /><Relationship Id="rId22" Type="http://schemas.openxmlformats.org/officeDocument/2006/relationships/hyperlink" Target="mailto:popek@popek.gr" TargetMode="External" /><Relationship Id="rId23" Type="http://schemas.openxmlformats.org/officeDocument/2006/relationships/hyperlink" Target="mailto:haci@haci.gr" TargetMode="External" /><Relationship Id="rId24" Type="http://schemas.openxmlformats.org/officeDocument/2006/relationships/hyperlink" Target="https://www.aade.gr/epiheiriseis/teloneiakes-ypiresies/ilektronikes-synallages-e-customs/teloneia/eidikoi-foroi-katanalosis-efk" TargetMode="External" /><Relationship Id="rId25" Type="http://schemas.openxmlformats.org/officeDocument/2006/relationships/hyperlink" Target="https://www.aade.gr/epiheiriseis/teloneiakes-ypiresies/ilektronikes-synallages-e-customs/teloneia/eidikoi-foroi-katanalosis-efk" TargetMode="External" /><Relationship Id="rId26" Type="http://schemas.openxmlformats.org/officeDocument/2006/relationships/hyperlink" Target="http://www.aade.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epe@seepe.gr" TargetMode="External" /><Relationship Id="rId6" Type="http://schemas.openxmlformats.org/officeDocument/2006/relationships/hyperlink" Target="mailto:helpe@helpe.gr" TargetMode="External" /><Relationship Id="rId7" Type="http://schemas.openxmlformats.org/officeDocument/2006/relationships/hyperlink" Target="mailto:motoroil.refinery@moh.gr" TargetMode="External" /><Relationship Id="rId8" Type="http://schemas.openxmlformats.org/officeDocument/2006/relationships/hyperlink" Target="mailto:Info@moh.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