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Παροχή διευκρινίσεων αναφορικά με την ορθή εφαρμογή της Ε. 2066/2023 εγκυκλίου του Διοικητή ΑΑΔΕ με τίτλο «Φορολογική αντιμετώπιση από πλευράς ΦΠΑ των συμβολαίων επί διαφοράς (Contract For Differences - CFD)».</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 Εγκύκλιος που αφορά στην παροχή διευκρινίσεων αναφορικά με την ορθή εφαρμογή της Ε 2066/2023 εγκυκλίου του Διοικητή ΑΑΔΕ «Φορολογική αντιμετώπιση από πλευράς ΦΠΑ των συμβολαίων επί διαφοράς (Contract For Differences - CFD)».</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Παρέχονται διευκρινίσεις αναφορικά με την απαλλαγή από το ΦΠΑ στα εξωχρηματιστηριακά παράγωγα.</w:t>
      </w:r>
    </w:p>
    <w:p>
      <w:pPr>
        <w:spacing w:before="240" w:after="240"/>
        <w:rPr>
          <w:lang w:val="el" w:eastAsia="el"/>
        </w:rPr>
      </w:pPr>
      <w:r>
        <w:rPr>
          <w:b/>
          <w:bCs/>
          <w:lang w:val="el" w:eastAsia="el"/>
        </w:rPr>
        <w:t>Γ) ΠΕΔΙΟ ΕΦΑΡΜΟΓΗΣΑφορά τα πρόσωπα που συνάπτουν εξωχρηματιστηριακά παράγωγα</w:t>
      </w:r>
    </w:p>
    <w:p>
      <w:pPr>
        <w:spacing w:before="240" w:after="240"/>
        <w:rPr>
          <w:lang w:val="el" w:eastAsia="el"/>
        </w:rPr>
      </w:pPr>
      <w:r>
        <w:rPr>
          <w:b/>
          <w:bCs/>
          <w:lang w:val="el" w:eastAsia="el"/>
        </w:rPr>
        <w:t>Σε συνέχεια της έκδοσης της εγκυκλίου Ε. 2066/2023 του Διοικητή της ΑΑΔΕ παρέχονται οι ακόλουθες πρόσθετες διευκρινίσεις αναφορικά με το εύρος εφαρμογής της εν λόγω εγκυκλίου με σκοπό την ορθή και ομοιόμορφη εφαρμογή αυτής:</w:t>
      </w:r>
    </w:p>
    <w:p>
      <w:pPr>
        <w:spacing w:before="240" w:after="240"/>
        <w:rPr>
          <w:lang w:val="el" w:eastAsia="el"/>
        </w:rPr>
      </w:pPr>
      <w:r>
        <w:rPr>
          <w:lang w:val="el" w:eastAsia="el"/>
        </w:rPr>
        <w:t xml:space="preserve">1. </w:t>
      </w:r>
      <w:r>
        <w:rPr>
          <w:b/>
          <w:bCs/>
          <w:lang w:val="el" w:eastAsia="el"/>
        </w:rPr>
        <w:t>Με την εγκύκλιο Ε. 2066/2023 αναφέρθηκε, μεταξύ άλλων, ότι η απαλλαγή από το ΦΠΑ που προβλέπεται στην ελληνική και την ενωσιακή νομοθεσία καταλαμβάνει ρητά μόνο τις περιπτώσεις παραγώγων που διαπραγματεύονται σε χρηματιστηριακή αγορά, ενώ, αντιθέτως</w:t>
      </w:r>
    </w:p>
    <w:p>
      <w:pPr>
        <w:spacing w:before="240" w:after="240"/>
        <w:rPr>
          <w:lang w:val="el" w:eastAsia="el"/>
        </w:rPr>
      </w:pPr>
      <w:r>
        <w:rPr>
          <w:b/>
          <w:bCs/>
          <w:lang w:val="el" w:eastAsia="el"/>
        </w:rPr>
        <w:t>η απαλλαγή δεν καταλαμβάνει ρητά και τα εξωχρηματιστηριακά παράγωγα (Over The Counter), όπως είναι τα συμβόλαια επί διαφορών.</w:t>
      </w:r>
    </w:p>
    <w:p>
      <w:pPr>
        <w:spacing w:before="240" w:after="240"/>
        <w:rPr>
          <w:lang w:val="el" w:eastAsia="el"/>
        </w:rPr>
      </w:pPr>
      <w:r>
        <w:rPr>
          <w:lang w:val="el" w:eastAsia="el"/>
        </w:rPr>
        <w:t xml:space="preserve">2. </w:t>
      </w:r>
      <w:r>
        <w:rPr>
          <w:b/>
          <w:bCs/>
          <w:lang w:val="el" w:eastAsia="el"/>
        </w:rPr>
        <w:t>Διευκρινίζεται, περαιτέρω, ότι τα ανωτέρω δεν αποκλείουν την εφαρμογή στα εξωχρηματιστηριακά παράγωγα (Over The Counter) των απαλλαγών ΦΠΑ που προβλέπονται από άλλες διατάξεις του Κώδικα ΦΠΑ.</w:t>
      </w:r>
    </w:p>
    <w:p>
      <w:pPr>
        <w:spacing w:before="240" w:after="240"/>
        <w:rPr>
          <w:lang w:val="el" w:eastAsia="el"/>
        </w:rPr>
      </w:pPr>
      <w:r>
        <w:rPr>
          <w:lang w:val="el" w:eastAsia="el"/>
        </w:rPr>
        <w:t xml:space="preserve">3. </w:t>
      </w:r>
      <w:r>
        <w:rPr>
          <w:b/>
          <w:bCs/>
          <w:lang w:val="el" w:eastAsia="el"/>
        </w:rPr>
        <w:t>Στο πλαίσιο αυτό, η παροχή υπηρεσιών και τα έσοδα από αυτές, που θα προκύψουν καθ΄ οιονδήποτε τρόπο από συναλλαγές και πράξεις επί εξωχρηματιστηριακών παραγώγων (Over The Counter), στις περιπτώσεις όπου τουλάχιστον ένα εκ των συμβαλλομένων μερών ή συμμετεχόντων με οποιαδήποτε ιδιότητα στη συναλλαγή ή πράξη, όπως ενδεικτικά στην εκκαθάριση ή τον διακανονισμό της συναλλαγής, είναι πιστωτικό ίδρυμα ή Ανώνυμη Εταιρεία Παροχής Επενδυτικών Υπηρεσιών (ΑΕΠΕΥ) απαλλάσσονται από το ΦΠΑ σύμφωνα με τις διατάξεις των περιπτώσεων κα΄,κδ΄και κε΄ της παραγράφου 1 του άρθρου 22 του Κώδικα ΦΠΑ (ν. 2859/2000).</w:t>
      </w:r>
    </w:p>
    <w:p>
      <w:pPr>
        <w:spacing w:before="240" w:after="240"/>
        <w:rPr>
          <w:lang w:val="el" w:eastAsia="el"/>
        </w:rPr>
      </w:pPr>
      <w:r>
        <w:rPr>
          <w:lang w:val="el" w:eastAsia="el"/>
        </w:rPr>
        <w:t xml:space="preserve">4. </w:t>
      </w:r>
      <w:r>
        <w:rPr>
          <w:b/>
          <w:bCs/>
          <w:lang w:val="el" w:eastAsia="el"/>
        </w:rPr>
        <w:t>Περαιτέρω, υπενθυμίζεται ότι με τις διατάξεις του άρθρου 22 του Κώδικα ΦΠΑ ορίζονται οι απαλλαγές από το ΦΠΑ ορισμένων παραδόσεων αγαθών και παροχών υπηρεσιών στο εσωτερικό της χώρας μας. Οι απαλλαγές αυτές είναι υποχρεωτικές για τα πρόσωπα και τις πράξεις που εμπίπτουν στα οριζόμενα στο άρθρο αυτό.</w:t>
      </w:r>
    </w:p>
    <w:p>
      <w:pPr>
        <w:spacing w:before="240" w:after="240"/>
        <w:rPr>
          <w:lang w:val="el" w:eastAsia="el"/>
        </w:rPr>
      </w:pPr>
      <w:r>
        <w:rPr>
          <w:lang w:val="el" w:eastAsia="el"/>
        </w:rPr>
        <w:t xml:space="preserve">5. </w:t>
      </w:r>
      <w:r>
        <w:rPr>
          <w:b/>
          <w:bCs/>
          <w:lang w:val="el" w:eastAsia="el"/>
        </w:rPr>
        <w:t>Τέλος, με δεδομένο ότι το Συμβόλαιο Επί Διαφοράς είναι μια συμφωνία μεταξύ των μερών προκειμένου να ανταλλάξουν τη διαφορά μεταξύ της τρέχουσας τιμής του υποκείμενου μέσου και της τιμής του μέσου αυτού κατά το χρόνο λήξης της σύμβασης και σε καμία περίπτωση δεν αποκτάται ή δεν αγοράζεται το υποκείμενο μέσο του CFD, το έσοδο που τυχόν προκύπτει είναι, πάντοτε, έσοδο από παροχή υπηρεσιών. Συνεπώς, όταν ο ένας εκ των συμβαλλομένων στο CFD μερών είναι εγκατεστημένος εκτός Ελλάδος, εντός ή εκτός ΕΕ, εφαρμόζονται πρωτίστως οι διατάξεις του άρθρου 14 του Κώδικα ΦΠΑ αναφορικά με τον τόπο παροχής και κατά συνέπεια με τον τόπο φορολόγησης της υπηρεσίας αυτής.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και 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οι αριθ. 2 και 3΄</w:t>
      </w:r>
    </w:p>
    <w:p>
      <w:pPr>
        <w:spacing w:before="240" w:after="240"/>
        <w:rPr>
          <w:lang w:val="el" w:eastAsia="el"/>
        </w:rPr>
      </w:pPr>
      <w:r>
        <w:rPr>
          <w:lang w:val="el" w:eastAsia="el"/>
        </w:rPr>
        <w:t xml:space="preserve">4. </w:t>
      </w:r>
      <w:r>
        <w:rPr>
          <w:b/>
          <w:bCs/>
          <w:lang w:val="el" w:eastAsia="el"/>
        </w:rPr>
        <w:t>Αποδέκτες Πίνακα Ζ΄</w:t>
      </w:r>
    </w:p>
    <w:p>
      <w:pPr>
        <w:spacing w:before="240" w:after="240"/>
        <w:rPr>
          <w:lang w:val="el" w:eastAsia="el"/>
        </w:rPr>
      </w:pPr>
      <w:r>
        <w:rPr>
          <w:lang w:val="el" w:eastAsia="el"/>
        </w:rPr>
        <w:t xml:space="preserve">5. </w:t>
      </w:r>
      <w:r>
        <w:rPr>
          <w:b/>
          <w:bCs/>
          <w:lang w:val="el" w:eastAsia="el"/>
        </w:rPr>
        <w:t>Αποδέκτες Πίνακα Η, πλην των 4, 10 και 11</w:t>
      </w:r>
    </w:p>
    <w:p>
      <w:pPr>
        <w:spacing w:before="240" w:after="240"/>
        <w:rPr>
          <w:lang w:val="el" w:eastAsia="el"/>
        </w:rPr>
      </w:pPr>
      <w:r>
        <w:rPr>
          <w:lang w:val="el" w:eastAsia="el"/>
        </w:rPr>
        <w:t xml:space="preserve">6. </w:t>
      </w:r>
      <w:r>
        <w:rPr>
          <w:b/>
          <w:bCs/>
          <w:lang w:val="el" w:eastAsia="el"/>
        </w:rPr>
        <w:t>Αποδέκτες Πίνακα Θ΄ μόνο οι αριθ. 13, 19, 20, 27, 31</w:t>
      </w:r>
    </w:p>
    <w:p>
      <w:pPr>
        <w:spacing w:before="240" w:after="240"/>
        <w:rPr>
          <w:lang w:val="el" w:eastAsia="el"/>
        </w:rPr>
      </w:pPr>
      <w:r>
        <w:rPr>
          <w:lang w:val="el" w:eastAsia="el"/>
        </w:rPr>
        <w:t xml:space="preserve">7. </w:t>
      </w:r>
      <w:r>
        <w:rPr>
          <w:b/>
          <w:bCs/>
          <w:lang w:val="el" w:eastAsia="el"/>
        </w:rPr>
        <w:t>Αποδέκτες Πίνακα ΙΒ΄</w:t>
      </w:r>
    </w:p>
    <w:p>
      <w:pPr>
        <w:spacing w:before="240" w:after="240"/>
        <w:rPr>
          <w:lang w:val="el" w:eastAsia="el"/>
        </w:rPr>
      </w:pPr>
      <w:r>
        <w:rPr>
          <w:lang w:val="el" w:eastAsia="el"/>
        </w:rPr>
        <w:t xml:space="preserve">8. </w:t>
      </w:r>
      <w:r>
        <w:rPr>
          <w:b/>
          <w:bCs/>
          <w:lang w:val="el" w:eastAsia="el"/>
        </w:rPr>
        <w:t>Αποδέκτες Πίνακα ΙΣΤ΄</w:t>
      </w:r>
    </w:p>
    <w:p>
      <w:pPr>
        <w:spacing w:before="240" w:after="240"/>
        <w:rPr>
          <w:lang w:val="el" w:eastAsia="el"/>
        </w:rPr>
      </w:pPr>
      <w:r>
        <w:rPr>
          <w:lang w:val="el" w:eastAsia="el"/>
        </w:rPr>
        <w:t xml:space="preserve">9. </w:t>
      </w:r>
      <w:r>
        <w:rPr>
          <w:b/>
          <w:bCs/>
          <w:lang w:val="el" w:eastAsia="el"/>
        </w:rPr>
        <w:t>Αποδέκτες Πίνακα ΙΘ΄</w:t>
      </w:r>
    </w:p>
    <w:p>
      <w:pPr>
        <w:spacing w:before="240" w:after="240"/>
        <w:rPr>
          <w:lang w:val="el" w:eastAsia="el"/>
        </w:rPr>
      </w:pPr>
      <w:r>
        <w:rPr>
          <w:lang w:val="el" w:eastAsia="el"/>
        </w:rPr>
        <w:t xml:space="preserve">10.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11.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12.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13.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Διεύθυνση Νομικής Υποστήριξης της Α.Α.Δ.Ε</w:t>
      </w:r>
    </w:p>
    <w:p>
      <w:pPr>
        <w:spacing w:before="240" w:after="240"/>
        <w:rPr>
          <w:lang w:val="el" w:eastAsia="el"/>
        </w:rPr>
      </w:pPr>
      <w:r>
        <w:rPr>
          <w:lang w:val="el" w:eastAsia="el"/>
        </w:rPr>
        <w:t xml:space="preserve">4.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