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ΛΛΔΕ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Θέμα: «Στατιστικά κατώφλια έτους 2024 για την υποβολή δήλωσης Intrastat»</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στα στατιστικά κατώφλια που ισχύουν από 1.1.2024 έως και 31.12.2024 πάνω από τα οποία οι επιχειρήσεις υποχρεούνται να υποβάλουν δήλωση Intrastat.</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εγκύκλιο γνωστοποιείται ότι τα στατιστικά κατώφλια που ισχύουν από 1.1.2024 έως 31.12.2024, πάνω από τα οποία οι επιχειρήσεις υποχρεούνται να υποβάλλουν δήλωση Intrastat, διαμορφώνονται στις εκατόν πενήντα χιλιάδες ευρώ (150.000 €) για τις ενδοκοινοτικές αφίξεις και στις ενενήντα χιλιάδες ευρώ (90.000 €) για τις ενδοκοινοτικές αποστολές.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Όλες οι επιχειρήσεις που διενεργούν αγορές ή πωλήσεις αγαθών σε χώρες της Ευρωπαϊκής Ένωσης.</w:t>
      </w:r>
    </w:p>
    <w:p>
      <w:pPr>
        <w:spacing w:before="240" w:after="240"/>
        <w:rPr>
          <w:lang w:val="el" w:eastAsia="el"/>
        </w:rPr>
      </w:pPr>
      <w:r>
        <w:rPr>
          <w:b/>
          <w:bCs/>
          <w:lang w:val="el" w:eastAsia="el"/>
        </w:rPr>
        <w:t>Σχετικά με το ανωτέρω θέμα σας γνωρίζουμε ότι σύμφωνα με το αριθ. πρωτ. 304/Β3- 8/12.1.2024 έγγραφο της Ελληνικής Στατιστικής Αρχής προς την Υπηρεσία μας, τα στατιστικά κατώφλια που ισχύουν από 1.1.2024 έως 31.12.2024, πάνω από τα οποία οι επιχειρήσεις υποχρεούνται να υποβάλλουν δήλωση Intrastat, διαμορφώνονται ως εξής:</w:t>
      </w:r>
    </w:p>
    <w:p>
      <w:pPr>
        <w:pStyle w:val="StructureList1"/>
        <w:spacing w:before="120" w:after="0"/>
        <w:rPr>
          <w:lang w:val="el" w:eastAsia="el"/>
        </w:rPr>
      </w:pPr>
      <w:r>
        <w:rPr>
          <w:lang w:val="el" w:eastAsia="el"/>
        </w:rPr>
        <w:t>α)</w:t>
      </w:r>
      <w:r>
        <w:rPr>
          <w:lang w:val="en" w:eastAsia="en"/>
        </w:rPr>
        <w:tab/>
      </w:r>
      <w:r>
        <w:rPr>
          <w:b/>
          <w:bCs/>
          <w:lang w:val="el" w:eastAsia="el"/>
        </w:rPr>
        <w:t>Εκατόν πενήντα χιλιάδες ευρώ (150.000 €) για τις ενδοκοινοτικές αφίξεις β) Ενενήντα χιλιάδες ευρώ (90.000 €) για τις ενδοκοινοτικές αποστολές.</w:t>
      </w:r>
    </w:p>
    <w:p>
      <w:pPr>
        <w:spacing w:before="240" w:after="240"/>
        <w:rPr>
          <w:lang w:val="el" w:eastAsia="el"/>
        </w:rPr>
      </w:pPr>
      <w:r>
        <w:rPr>
          <w:b/>
          <w:bCs/>
          <w:lang w:val="el" w:eastAsia="el"/>
        </w:rPr>
        <w:t>Επισημαίνεται ότι, σύμφωνα με το ανωτέρω έγγραφο, υπάρχει υποχρέωση υποβολής δήλωσης Intrastat για ενδοκοινοτικές συναλλαγές αγαθών που πραγματοποιούνται το έτος 2024 εφόσον, κατά το έτος 2023 οι συναλλαγές ενδοκοινοτικών αφίξεων και αποστολών αγαθών υπερέβησαν τα στατιστικά κατώφλια του έτους 2023 ή στην περίπτωση κατά την οποία οι συνολικές συναλλαγές ενδοκοινοτικών αφίξεων και αποστολών αγαθών που πραγματοποιούνται κατά το έτος 2024 υπερβούν τα κατώφλια αυτά.</w:t>
      </w:r>
    </w:p>
    <w:p>
      <w:pPr>
        <w:spacing w:before="240" w:after="240"/>
        <w:rPr>
          <w:lang w:val="el" w:eastAsia="el"/>
        </w:rPr>
      </w:pPr>
      <w:r>
        <w:rPr>
          <w:b/>
          <w:bCs/>
          <w:lang w:val="el" w:eastAsia="el"/>
        </w:rPr>
        <w:t>Ο ΔΙΟΙΚΗΤΗΣ ΤΗΣ ΑΝΕΞΑΡΤΗΤΗΣΑΡΧΗΣ ΔΗΜΟΣΙΩΝ ΕΣΟΔΩΝΓΕΩΡΓΙΟΣ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των αριθμών 2 και 3</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μόνο οι αριθμοί 1 και 4</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Γ΄ μόνο οι αριθ. 2 και 3</w:t>
      </w:r>
    </w:p>
    <w:p>
      <w:pPr>
        <w:spacing w:before="240" w:after="240"/>
        <w:rPr>
          <w:lang w:val="el" w:eastAsia="el"/>
        </w:rPr>
      </w:pPr>
      <w:r>
        <w:rPr>
          <w:lang w:val="el" w:eastAsia="el"/>
        </w:rPr>
        <w:t xml:space="preserve">4. </w:t>
      </w:r>
      <w:r>
        <w:rPr>
          <w:b/>
          <w:bCs/>
          <w:lang w:val="el" w:eastAsia="el"/>
        </w:rPr>
        <w:t>Αποδέκτες Πίνακα Δ΄</w:t>
      </w:r>
    </w:p>
    <w:p>
      <w:pPr>
        <w:spacing w:before="240" w:after="240"/>
        <w:rPr>
          <w:lang w:val="el" w:eastAsia="el"/>
        </w:rPr>
      </w:pPr>
      <w:r>
        <w:rPr>
          <w:lang w:val="el" w:eastAsia="el"/>
        </w:rPr>
        <w:t xml:space="preserve">5. </w:t>
      </w:r>
      <w:r>
        <w:rPr>
          <w:b/>
          <w:bCs/>
          <w:lang w:val="el" w:eastAsia="el"/>
        </w:rPr>
        <w:t>Αποδέκτες Πίνακα Ε΄</w:t>
      </w:r>
    </w:p>
    <w:p>
      <w:pPr>
        <w:spacing w:before="240" w:after="240"/>
        <w:rPr>
          <w:lang w:val="el" w:eastAsia="el"/>
        </w:rPr>
      </w:pPr>
      <w:r>
        <w:rPr>
          <w:lang w:val="el" w:eastAsia="el"/>
        </w:rPr>
        <w:t xml:space="preserve">6. </w:t>
      </w:r>
      <w:r>
        <w:rPr>
          <w:b/>
          <w:bCs/>
          <w:lang w:val="el" w:eastAsia="el"/>
        </w:rPr>
        <w:t>Αποδέκτες Πίνακα ΣΤ΄</w:t>
      </w:r>
    </w:p>
    <w:p>
      <w:pPr>
        <w:spacing w:before="240" w:after="240"/>
        <w:rPr>
          <w:lang w:val="el" w:eastAsia="el"/>
        </w:rPr>
      </w:pPr>
      <w:r>
        <w:rPr>
          <w:lang w:val="el" w:eastAsia="el"/>
        </w:rPr>
        <w:t xml:space="preserve">7. </w:t>
      </w:r>
      <w:r>
        <w:rPr>
          <w:b/>
          <w:bCs/>
          <w:lang w:val="el" w:eastAsia="el"/>
        </w:rPr>
        <w:t>Αποδέκτες Πίνακα Ζ΄</w:t>
      </w:r>
    </w:p>
    <w:p>
      <w:pPr>
        <w:spacing w:before="240" w:after="240"/>
        <w:rPr>
          <w:lang w:val="el" w:eastAsia="el"/>
        </w:rPr>
      </w:pPr>
      <w:r>
        <w:rPr>
          <w:lang w:val="el" w:eastAsia="el"/>
        </w:rPr>
        <w:t xml:space="preserve">8. </w:t>
      </w:r>
      <w:r>
        <w:rPr>
          <w:b/>
          <w:bCs/>
          <w:lang w:val="el" w:eastAsia="el"/>
        </w:rPr>
        <w:t>Αποδέκτες Πίνακα Η΄</w:t>
      </w:r>
    </w:p>
    <w:p>
      <w:pPr>
        <w:spacing w:before="240" w:after="240"/>
        <w:rPr>
          <w:lang w:val="el" w:eastAsia="el"/>
        </w:rPr>
      </w:pPr>
      <w:r>
        <w:rPr>
          <w:lang w:val="el" w:eastAsia="el"/>
        </w:rPr>
        <w:t xml:space="preserve">9. </w:t>
      </w:r>
      <w:r>
        <w:rPr>
          <w:b/>
          <w:bCs/>
          <w:lang w:val="el" w:eastAsia="el"/>
        </w:rPr>
        <w:t>Αποδέκτες Πίνακα Θ΄ μόνο οι αριθ. 13, 19, 20, 27</w:t>
      </w:r>
    </w:p>
    <w:p>
      <w:pPr>
        <w:spacing w:before="240" w:after="240"/>
        <w:rPr>
          <w:lang w:val="el" w:eastAsia="el"/>
        </w:rPr>
      </w:pPr>
      <w:r>
        <w:rPr>
          <w:lang w:val="el" w:eastAsia="el"/>
        </w:rPr>
        <w:t xml:space="preserve">10. </w:t>
      </w:r>
      <w:r>
        <w:rPr>
          <w:b/>
          <w:bCs/>
          <w:lang w:val="el" w:eastAsia="el"/>
        </w:rPr>
        <w:t>Αποδέκτες Πίνακα ΙΒ΄</w:t>
      </w:r>
    </w:p>
    <w:p>
      <w:pPr>
        <w:spacing w:before="240" w:after="240"/>
        <w:rPr>
          <w:lang w:val="el" w:eastAsia="el"/>
        </w:rPr>
      </w:pPr>
      <w:r>
        <w:rPr>
          <w:lang w:val="el" w:eastAsia="el"/>
        </w:rPr>
        <w:t xml:space="preserve">11. </w:t>
      </w:r>
      <w:r>
        <w:rPr>
          <w:b/>
          <w:bCs/>
          <w:lang w:val="el" w:eastAsia="el"/>
        </w:rPr>
        <w:t>Αποδέκτες Πίνακα ΙΓ΄</w:t>
      </w:r>
    </w:p>
    <w:p>
      <w:pPr>
        <w:spacing w:before="240" w:after="240"/>
        <w:rPr>
          <w:lang w:val="el" w:eastAsia="el"/>
        </w:rPr>
      </w:pPr>
      <w:r>
        <w:rPr>
          <w:lang w:val="el" w:eastAsia="el"/>
        </w:rPr>
        <w:t xml:space="preserve">12. </w:t>
      </w:r>
      <w:r>
        <w:rPr>
          <w:b/>
          <w:bCs/>
          <w:lang w:val="el" w:eastAsia="el"/>
        </w:rPr>
        <w:t>Αποδέκτες Πίνακα ΙΕ΄</w:t>
      </w:r>
    </w:p>
    <w:p>
      <w:pPr>
        <w:spacing w:before="240" w:after="240"/>
        <w:rPr>
          <w:lang w:val="el" w:eastAsia="el"/>
        </w:rPr>
      </w:pPr>
      <w:r>
        <w:rPr>
          <w:lang w:val="el" w:eastAsia="el"/>
        </w:rPr>
        <w:t xml:space="preserve">13. </w:t>
      </w:r>
      <w:r>
        <w:rPr>
          <w:b/>
          <w:bCs/>
          <w:lang w:val="el" w:eastAsia="el"/>
        </w:rPr>
        <w:t>Αποδέκτες Πίνακα ΙΣΤ΄</w:t>
      </w:r>
    </w:p>
    <w:p>
      <w:pPr>
        <w:spacing w:before="240" w:after="240"/>
        <w:rPr>
          <w:lang w:val="el" w:eastAsia="el"/>
        </w:rPr>
      </w:pPr>
      <w:r>
        <w:rPr>
          <w:lang w:val="el" w:eastAsia="el"/>
        </w:rPr>
        <w:t xml:space="preserve">14. </w:t>
      </w:r>
      <w:r>
        <w:rPr>
          <w:b/>
          <w:bCs/>
          <w:lang w:val="el" w:eastAsia="el"/>
        </w:rPr>
        <w:t>Αποδέκτες Πίνακα ΚΒ’</w:t>
      </w:r>
    </w:p>
    <w:p>
      <w:pPr>
        <w:spacing w:before="240" w:after="240"/>
        <w:rPr>
          <w:lang w:val="el" w:eastAsia="el"/>
        </w:rPr>
      </w:pPr>
      <w:r>
        <w:rPr>
          <w:lang w:val="el" w:eastAsia="el"/>
        </w:rPr>
        <w:t xml:space="preserve">15. </w:t>
      </w:r>
      <w:r>
        <w:rPr>
          <w:b/>
          <w:bCs/>
          <w:lang w:val="el" w:eastAsia="el"/>
        </w:rPr>
        <w:t>Αποδέκτες Πίνακα ΚΓ΄</w:t>
      </w:r>
    </w:p>
    <w:p>
      <w:pPr>
        <w:spacing w:before="240" w:after="240"/>
        <w:rPr>
          <w:lang w:val="el" w:eastAsia="el"/>
        </w:rPr>
      </w:pPr>
      <w:r>
        <w:rPr>
          <w:lang w:val="el" w:eastAsia="el"/>
        </w:rPr>
        <w:t xml:space="preserve">16.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17.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18.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19.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Δ/ντή Φορολογίας</w:t>
      </w:r>
    </w:p>
    <w:p>
      <w:pPr>
        <w:spacing w:before="240" w:after="240"/>
        <w:rPr>
          <w:lang w:val="el" w:eastAsia="el"/>
        </w:rPr>
      </w:pPr>
      <w:r>
        <w:rPr>
          <w:lang w:val="el" w:eastAsia="el"/>
        </w:rPr>
        <w:t xml:space="preserve">3. </w:t>
      </w:r>
      <w:r>
        <w:rPr>
          <w:b/>
          <w:bCs/>
          <w:lang w:val="el" w:eastAsia="el"/>
        </w:rPr>
        <w:t>Γραφείο Γενικού Δ/ντή Φορολογικών Λειτουργιών</w:t>
      </w:r>
    </w:p>
    <w:p>
      <w:pPr>
        <w:spacing w:before="240" w:after="240"/>
        <w:rPr>
          <w:lang w:val="el" w:eastAsia="el"/>
        </w:rPr>
      </w:pPr>
      <w:r>
        <w:rPr>
          <w:lang w:val="el" w:eastAsia="el"/>
        </w:rPr>
        <w:t xml:space="preserve">4. </w:t>
      </w:r>
      <w:r>
        <w:rPr>
          <w:b/>
          <w:bCs/>
          <w:lang w:val="el" w:eastAsia="el"/>
        </w:rPr>
        <w:t>Διεύθυνση Νομικής Υποστήριξης της Α.Α.Δ.Ε</w:t>
      </w:r>
    </w:p>
    <w:p>
      <w:pPr>
        <w:spacing w:before="240" w:after="240"/>
        <w:rPr>
          <w:lang w:val="el" w:eastAsia="el"/>
        </w:rPr>
      </w:pPr>
      <w:r>
        <w:rPr>
          <w:lang w:val="el" w:eastAsia="el"/>
        </w:rPr>
        <w:t xml:space="preserve">5. </w:t>
      </w:r>
      <w:r>
        <w:rPr>
          <w:b/>
          <w:bCs/>
          <w:lang w:val="el" w:eastAsia="el"/>
        </w:rPr>
        <w:t>Διεύθυνση Εφαρμογής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