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ΓΕΝΙΚΗ ΔΙΕΥΘΥΝΣΗ ΗΛΕΚΤΡΟΝΙΚΗΣ ΔΙΑΚΥΒΕΡΝΗΣΗ</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 10672 Αθήνα</w:t>
      </w:r>
    </w:p>
    <w:p>
      <w:pPr>
        <w:spacing w:before="240" w:after="240"/>
        <w:rPr>
          <w:lang w:val="el" w:eastAsia="el"/>
        </w:rPr>
      </w:pPr>
      <w:r>
        <w:rPr>
          <w:b/>
          <w:bCs/>
          <w:lang w:val="el" w:eastAsia="el"/>
        </w:rPr>
        <w:t>Τηλ. : 2132122400</w:t>
      </w:r>
    </w:p>
    <w:p>
      <w:pPr>
        <w:spacing w:before="240" w:after="240"/>
        <w:rPr>
          <w:lang w:val="el" w:eastAsia="el"/>
        </w:rPr>
      </w:pPr>
      <w:r>
        <w:rPr>
          <w:b/>
          <w:bCs/>
          <w:lang w:val="el" w:eastAsia="el"/>
        </w:rPr>
        <w:t>ΠΡΟΣ: ΠΙΝΑΚΑ ΔΙΑΝΟΜΗΣ</w:t>
      </w:r>
    </w:p>
    <w:p>
      <w:pPr>
        <w:spacing w:before="240" w:after="240"/>
        <w:rPr>
          <w:lang w:val="el" w:eastAsia="el"/>
        </w:rPr>
      </w:pPr>
      <w:r>
        <w:rPr>
          <w:b/>
          <w:bCs/>
          <w:lang w:val="el" w:eastAsia="el"/>
        </w:rPr>
        <w:t>Θέμα: Διευκρινίσεις αναφορικά με τον χρόνο απόδοσης των οφειλόμενων τελών χαρτοσήμου.</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Ο χρόνος απόδοσης των τελών χαρτοσήμου, μετά την τροποποίηση της παρ. 1 του άρθρου 3 του Κώδικα Τελών Χαρτοσήμου, με το άρθρο 51 του ν.4955/2022 (Α΄139).</w:t>
      </w:r>
    </w:p>
    <w:p>
      <w:pPr>
        <w:spacing w:before="240" w:after="240"/>
        <w:rPr>
          <w:lang w:val="el" w:eastAsia="el"/>
        </w:rPr>
      </w:pPr>
      <w:r>
        <w:rPr>
          <w:b/>
          <w:bCs/>
          <w:u w:val="single"/>
          <w:lang w:val="el" w:eastAsia="el"/>
        </w:rPr>
        <w:t>Β)ΠΕΡΙΕΧΟΜΕΝΟ</w:t>
      </w:r>
    </w:p>
    <w:p>
      <w:pPr>
        <w:spacing w:before="240" w:after="240"/>
        <w:rPr>
          <w:lang w:val="el" w:eastAsia="el"/>
        </w:rPr>
      </w:pPr>
      <w:r>
        <w:rPr>
          <w:b/>
          <w:bCs/>
          <w:lang w:val="el" w:eastAsia="el"/>
        </w:rPr>
        <w:t>Διευκρινίσεις αναφορικά με τον χρόνο απόδοσης των οφειλόμενων τελώνχαρτοσήμου πράξεων υπαγόμενων στα τέλη χαρτοσήμου.</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lang w:val="el" w:eastAsia="el"/>
        </w:rPr>
        <w:t>Αφορά τα φυσικά και νομικά πρόσωπα/οντότητες, συμβολαιογράφους, υποθηκοφύλακες, δικαστικούς και λοιπούς λειτουργούς ως προς την κατάρτιση πράξεων και την είσπραξη των τελών χαρτοσήμου, καθώς και τις υπηρεσίες της φορολογικής αρχής.</w:t>
      </w:r>
    </w:p>
    <w:p>
      <w:pPr>
        <w:spacing w:before="240" w:after="240"/>
        <w:rPr>
          <w:lang w:val="el" w:eastAsia="el"/>
        </w:rPr>
      </w:pPr>
      <w:r>
        <w:rPr>
          <w:b/>
          <w:bCs/>
          <w:lang w:val="el" w:eastAsia="el"/>
        </w:rPr>
        <w:t>Με την παρούσα εγκύκλιο παρέχονται διευκρινίσεις αναφορικά με τον χρόνο απόδοσης των οφειλόμενων τελών χαρτοσήμου. Συγκεκριμένα:</w:t>
      </w:r>
    </w:p>
    <w:p>
      <w:pPr>
        <w:spacing w:before="240" w:after="240"/>
        <w:rPr>
          <w:lang w:val="el" w:eastAsia="el"/>
        </w:rPr>
      </w:pPr>
      <w:r>
        <w:rPr>
          <w:lang w:val="el" w:eastAsia="el"/>
        </w:rPr>
        <w:t xml:space="preserve">1. </w:t>
      </w:r>
      <w:r>
        <w:rPr>
          <w:b/>
          <w:bCs/>
          <w:lang w:val="el" w:eastAsia="el"/>
        </w:rPr>
        <w:t>Με τις διατάξεις του άρθρου 51 του ν.4955/2022 (Α΄139) τροποποιήθηκε η παρ. 1 του αρ. 3 του ΚΝΤΧ, σύμφωνα με την οποία η πληρωμή των τελών χαρτοσήμου διενεργείται το αργότερο μέχρι το τέλος του επόμενου μήνα από την ημερομηνία του εγγράφου που χαρτοσημαίνεται.</w:t>
      </w:r>
    </w:p>
    <w:p>
      <w:pPr>
        <w:spacing w:before="240" w:after="240"/>
        <w:rPr>
          <w:lang w:val="el" w:eastAsia="el"/>
        </w:rPr>
      </w:pPr>
      <w:r>
        <w:rPr>
          <w:b/>
          <w:bCs/>
          <w:lang w:val="el" w:eastAsia="el"/>
        </w:rPr>
        <w:t>Οι εν λόγω διατάξεις ισχύουν από τις 14/7/2022 σύμφωνα με το αρ. 68 του ίδιου νόμου και κοινοποιήθηκαν με την υπ’ αριθ. Ο.ΔΕΑΦ1064803ΕΞ2022 Οδηγία του Διοικητή της ΑΑΔΕ.</w:t>
      </w:r>
    </w:p>
    <w:p>
      <w:pPr>
        <w:spacing w:before="240" w:after="240"/>
        <w:rPr>
          <w:lang w:val="el" w:eastAsia="el"/>
        </w:rPr>
      </w:pPr>
      <w:r>
        <w:rPr>
          <w:lang w:val="el" w:eastAsia="el"/>
        </w:rPr>
        <w:t xml:space="preserve">2. </w:t>
      </w:r>
      <w:r>
        <w:rPr>
          <w:b/>
          <w:bCs/>
          <w:lang w:val="el" w:eastAsia="el"/>
        </w:rPr>
        <w:t>Δεδομένου ότι με την ανωτέρω διάταξη για την αλλαγή του χρόνου απόδοσης των τελών χαρτοσήμου, δεν προβλέφθηκε διατήρηση ισχύος των επιμέρους προθεσμιών που είχαν οριστεί με κανονιστικές αποφάσεις, αλλά ούτε και καθορίστηκε χρόνος απόδοσης τελών χαρτοσήμου για τα στοιχεία που καταλάμβανε το καταργηθέν π.δ. 99/1977, όλες αυτές οι επιμέρους προθεσμίες έπαυσαν να ισχύουν από τις 14/7/2022, οπότε και τέθηκε σε ισχύ το αρ. 51 του ν. 4955/2022.</w:t>
      </w:r>
    </w:p>
    <w:p>
      <w:pPr>
        <w:spacing w:before="240" w:after="240"/>
        <w:rPr>
          <w:lang w:val="el" w:eastAsia="el"/>
        </w:rPr>
      </w:pPr>
      <w:r>
        <w:rPr>
          <w:b/>
          <w:bCs/>
          <w:lang w:val="el" w:eastAsia="el"/>
        </w:rPr>
        <w:t>Συνεπώς, τα τέλη χαρτοσήμου αποδίδονται στην προβλεπόμενη από το ως άνω άρθρο προθεσμία για τις κατωτέρω πράξεις:</w:t>
      </w:r>
    </w:p>
    <w:p>
      <w:pPr>
        <w:pStyle w:val="StructureList1"/>
        <w:spacing w:before="120" w:after="0"/>
        <w:rPr>
          <w:lang w:val="el" w:eastAsia="el"/>
        </w:rPr>
      </w:pPr>
      <w:r>
        <w:rPr>
          <w:lang w:val="el" w:eastAsia="el"/>
        </w:rPr>
        <w:t>α)</w:t>
      </w:r>
      <w:r>
        <w:rPr>
          <w:lang w:val="en" w:eastAsia="en"/>
        </w:rPr>
        <w:tab/>
      </w:r>
      <w:r>
        <w:rPr>
          <w:b/>
          <w:bCs/>
          <w:lang w:val="el" w:eastAsia="el"/>
        </w:rPr>
        <w:t>τέλη χαρτοσήμου σε συμβάσεις, β) τέλη χαρτοσήμου από εγγραφές στα λογιστικά βιβλία,</w:t>
      </w:r>
    </w:p>
    <w:p>
      <w:pPr>
        <w:pStyle w:val="StructureList1"/>
        <w:spacing w:before="120" w:after="0"/>
        <w:rPr>
          <w:lang w:val="el" w:eastAsia="el"/>
        </w:rPr>
      </w:pPr>
      <w:r>
        <w:rPr>
          <w:lang w:val="el" w:eastAsia="el"/>
        </w:rPr>
        <w:t>γ)</w:t>
      </w:r>
      <w:r>
        <w:rPr>
          <w:lang w:val="en" w:eastAsia="en"/>
        </w:rPr>
        <w:tab/>
      </w:r>
      <w:r>
        <w:rPr>
          <w:b/>
          <w:bCs/>
          <w:lang w:val="el" w:eastAsia="el"/>
        </w:rPr>
        <w:t>τέλη χαρτοσήμου επί δανείων κινούμενων ως τρεχούμενων δοσοληπτικών λογαριασμών. Επισημαίνεται ότι στην περίπτωση αυτή τα τέλη χαρτοσήμου καταβάλλονται εμπρόθεσμα έως το τέλος του επόμενου μήνα που έπεται της λήξης της προθεσμίας που προβλέπεται στην</w:t>
      </w:r>
      <w:r>
        <w:rPr>
          <w:rStyle w:val="link"/>
          <w:b/>
          <w:bCs/>
          <w:lang w:val="el" w:eastAsia="el"/>
        </w:rPr>
        <w:t xml:space="preserve"> παράγραφο </w:t>
      </w:r>
      <w:r>
        <w:rPr>
          <w:rStyle w:val="link"/>
          <w:b/>
          <w:bCs/>
          <w:lang w:val="el" w:eastAsia="el"/>
        </w:rPr>
        <w:t xml:space="preserve">3 </w:t>
      </w:r>
      <w:r>
        <w:rPr>
          <w:rStyle w:val="link"/>
          <w:b/>
          <w:bCs/>
          <w:lang w:val="el" w:eastAsia="el"/>
        </w:rPr>
        <w:t xml:space="preserve">του άρθρου </w:t>
      </w:r>
      <w:r>
        <w:rPr>
          <w:rStyle w:val="link"/>
          <w:b/>
          <w:bCs/>
          <w:lang w:val="el" w:eastAsia="el"/>
        </w:rPr>
        <w:t xml:space="preserve">6 </w:t>
      </w:r>
      <w:r>
        <w:rPr>
          <w:b/>
          <w:bCs/>
          <w:lang w:val="el" w:eastAsia="el"/>
        </w:rPr>
        <w:t>του ν.</w:t>
      </w:r>
      <w:r>
        <w:rPr>
          <w:rStyle w:val="link"/>
          <w:b/>
          <w:bCs/>
          <w:lang w:val="el" w:eastAsia="el"/>
        </w:rPr>
        <w:t>4308/2014</w:t>
      </w:r>
    </w:p>
    <w:p>
      <w:pPr>
        <w:pStyle w:val="StructureList1"/>
        <w:spacing w:before="120" w:after="0"/>
        <w:rPr>
          <w:lang w:val="el" w:eastAsia="el"/>
        </w:rPr>
      </w:pPr>
      <w:r>
        <w:rPr>
          <w:b/>
          <w:bCs/>
          <w:lang w:val="el" w:eastAsia="el"/>
        </w:rPr>
        <w:t>δ)</w:t>
      </w:r>
      <w:r>
        <w:rPr>
          <w:b/>
          <w:bCs/>
          <w:lang w:val="en" w:eastAsia="en"/>
        </w:rPr>
        <w:tab/>
      </w:r>
      <w:r>
        <w:rPr>
          <w:b/>
          <w:bCs/>
          <w:lang w:val="el" w:eastAsia="el"/>
        </w:rPr>
        <w:t>τέλη χαρτοσήμου που προβλέπονταν από τις διατάξεις του άρθρου 30 του π.δ. 99/1977</w:t>
      </w:r>
    </w:p>
    <w:p>
      <w:pPr>
        <w:pStyle w:val="StructureList1"/>
        <w:spacing w:before="120" w:after="0"/>
        <w:rPr>
          <w:lang w:val="el" w:eastAsia="el"/>
        </w:rPr>
      </w:pPr>
      <w:r>
        <w:rPr>
          <w:b/>
          <w:bCs/>
          <w:lang w:val="el" w:eastAsia="el"/>
        </w:rPr>
        <w:t>ε)</w:t>
      </w:r>
      <w:r>
        <w:rPr>
          <w:b/>
          <w:bCs/>
          <w:lang w:val="en" w:eastAsia="en"/>
        </w:rPr>
        <w:tab/>
      </w:r>
      <w:r>
        <w:rPr>
          <w:b/>
          <w:bCs/>
          <w:lang w:val="el" w:eastAsia="el"/>
        </w:rPr>
        <w:t>τέλη χαρτοσήμου που οφείλονται για τα πινάκια επιταγών που εφεξής θα αποδίδονται συγκεντρωτικά για όλο τον προηγούμενο μήνα.</w:t>
      </w:r>
    </w:p>
    <w:p>
      <w:pPr>
        <w:pStyle w:val="StructureList1"/>
        <w:spacing w:before="120" w:after="0"/>
        <w:rPr>
          <w:lang w:val="el" w:eastAsia="el"/>
        </w:rPr>
      </w:pPr>
      <w:r>
        <w:rPr>
          <w:b/>
          <w:bCs/>
          <w:lang w:val="el" w:eastAsia="el"/>
        </w:rPr>
        <w:t>στ)</w:t>
      </w:r>
      <w:r>
        <w:rPr>
          <w:b/>
          <w:bCs/>
          <w:lang w:val="en" w:eastAsia="en"/>
        </w:rPr>
        <w:tab/>
      </w:r>
      <w:r>
        <w:rPr>
          <w:b/>
          <w:bCs/>
          <w:lang w:val="el" w:eastAsia="el"/>
        </w:rPr>
        <w:t>τέλη χαρτοσήμου στις συμβάσεις χορήγησης πιστωτικών καρτών από εταιρείες μη τράπεζες, καθώς και τις ανανεώσεις ή αυξήσεις του πιστωτικού ορίου</w:t>
      </w:r>
    </w:p>
    <w:p>
      <w:pPr>
        <w:spacing w:before="240" w:after="240"/>
        <w:rPr>
          <w:lang w:val="el" w:eastAsia="el"/>
        </w:rPr>
      </w:pPr>
      <w:r>
        <w:rPr>
          <w:b/>
          <w:bCs/>
          <w:lang w:val="el" w:eastAsia="el"/>
        </w:rPr>
        <w:t xml:space="preserve">3. </w:t>
      </w:r>
      <w:r>
        <w:rPr>
          <w:b/>
          <w:bCs/>
          <w:lang w:val="el" w:eastAsia="el"/>
        </w:rPr>
        <w:t>Εξακολουθούν, όμως, να αποδίδονται κατά τον χρόνο που αποδίδονται σήμερα τα τέλη χαρτοσήμου των κατωτέρω περιπτώσεων, διότι αυτές ρυθμίζονται από άλλες διατάξεις:</w:t>
      </w:r>
    </w:p>
    <w:p>
      <w:pPr>
        <w:spacing w:before="240" w:after="240"/>
        <w:rPr>
          <w:lang w:val="el" w:eastAsia="el"/>
        </w:rPr>
      </w:pPr>
      <w:r>
        <w:rPr>
          <w:b/>
          <w:bCs/>
          <w:lang w:val="el" w:eastAsia="el"/>
        </w:rPr>
        <w:t>α. τα τέλη χαρτοσήμου που αποδίδονται με άμεση καταβολή (άρθρο 3 παρ. 7 ΚΝΤΧ),</w:t>
      </w:r>
    </w:p>
    <w:p>
      <w:pPr>
        <w:spacing w:before="240" w:after="240"/>
        <w:rPr>
          <w:lang w:val="el" w:eastAsia="el"/>
        </w:rPr>
      </w:pPr>
      <w:r>
        <w:rPr>
          <w:b/>
          <w:bCs/>
          <w:lang w:val="el" w:eastAsia="el"/>
        </w:rPr>
        <w:t>β. τα τέλη χαρτοσήμου των μισθωμάτων ακινήτων που αποδίδονται μαζί με την δήλωση φορολογίας εισοδήματος (άρθρο 13 παρ. 2 περ. γ’ και θ΄),</w:t>
      </w:r>
    </w:p>
    <w:p>
      <w:pPr>
        <w:spacing w:before="240" w:after="240"/>
        <w:rPr>
          <w:lang w:val="el" w:eastAsia="el"/>
        </w:rPr>
      </w:pPr>
      <w:r>
        <w:rPr>
          <w:b/>
          <w:bCs/>
          <w:lang w:val="el" w:eastAsia="el"/>
        </w:rPr>
        <w:t>γ. τα τέλη χαρτοσήμου που αποδίδονται μαζί με τον παρακρατούμενο φόρο (απόφαση Υπουργού Οικονομικών Α.1125/2020, Β΄2434, αρθρο15</w:t>
      </w:r>
      <w:r>
        <w:rPr>
          <w:b/>
          <w:bCs/>
          <w:sz w:val="30"/>
          <w:szCs w:val="30"/>
          <w:vertAlign w:val="superscript"/>
          <w:lang w:val="el" w:eastAsia="el"/>
        </w:rPr>
        <w:t>ε</w:t>
      </w:r>
      <w:r>
        <w:rPr>
          <w:b/>
          <w:bCs/>
          <w:lang w:val="el" w:eastAsia="el"/>
        </w:rPr>
        <w:t xml:space="preserve"> παρ. 6 ΚΝΤΧ),</w:t>
      </w:r>
    </w:p>
    <w:p>
      <w:pPr>
        <w:spacing w:before="240" w:after="240"/>
        <w:rPr>
          <w:lang w:val="el" w:eastAsia="el"/>
        </w:rPr>
      </w:pPr>
      <w:r>
        <w:rPr>
          <w:b/>
          <w:bCs/>
          <w:lang w:val="el" w:eastAsia="el"/>
        </w:rPr>
        <w:t>δ. τα τέλη χαρτοσήμου που αποδίδονται με ηλεκτρονικό παράβολο (αρ.3 παρ.5 ΚΝΤΧ).</w:t>
      </w:r>
    </w:p>
    <w:p>
      <w:pPr>
        <w:spacing w:before="240" w:after="240"/>
        <w:rPr>
          <w:lang w:val="el" w:eastAsia="el"/>
        </w:rPr>
      </w:pPr>
      <w:r>
        <w:rPr>
          <w:b/>
          <w:bCs/>
          <w:lang w:val="el" w:eastAsia="el"/>
        </w:rPr>
        <w:t xml:space="preserve">4. </w:t>
      </w:r>
      <w:r>
        <w:rPr>
          <w:b/>
          <w:bCs/>
          <w:lang w:val="el" w:eastAsia="el"/>
        </w:rPr>
        <w:t>Επισημαίνεται ότι σε περίπτωση που εκ παραδρομής αποδόθηκαν τέλη χαρτοσήμου σε προθεσμία σύμφωνα με τις προϊσχύσασες διατάξεις από την οριζόμενη στο αρ.51 του ν.4955/2022 και ως εκ τούτου επιβλήθηκαν τόκοι και πρόστιμα, επιστρέφονται</w:t>
      </w:r>
    </w:p>
    <w:p>
      <w:pPr>
        <w:spacing w:before="240" w:after="240"/>
        <w:rPr>
          <w:lang w:val="el" w:eastAsia="el"/>
        </w:rPr>
      </w:pPr>
      <w:r>
        <w:rPr>
          <w:b/>
          <w:bCs/>
          <w:lang w:val="el" w:eastAsia="el"/>
        </w:rPr>
        <w:t>ή διαγράφονται κατόπιν αιτήματος του φορολογούμενου, μέσω της εφαρμογής «Τα Αιτήματά μου», με την επιφύλαξη των διατάξεων περί παραγραφής.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b/>
          <w:bCs/>
          <w:lang w:val="el" w:eastAsia="el"/>
        </w:rPr>
        <w:t>Όλες τις Δ.Ο.Υ.</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Γραφείο Υφυπουργού Εθνικής Οικονομίας και Οικονομικών</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 Γραφείο Διοικητή Α.Α.Δ.Ε.</w:t>
      </w:r>
    </w:p>
    <w:p>
      <w:pPr>
        <w:spacing w:before="240" w:after="240"/>
        <w:rPr>
          <w:lang w:val="el" w:eastAsia="el"/>
        </w:rPr>
      </w:pPr>
      <w:r>
        <w:rPr>
          <w:b/>
          <w:bCs/>
          <w:lang w:val="el" w:eastAsia="el"/>
        </w:rPr>
        <w:t xml:space="preserve">2 </w:t>
      </w:r>
      <w:r>
        <w:rPr>
          <w:b/>
          <w:bCs/>
          <w:lang w:val="el" w:eastAsia="el"/>
        </w:rPr>
        <w:t>. Γραφείο Γενικού Δ/ντη Φορολογίας</w:t>
      </w:r>
    </w:p>
    <w:p>
      <w:pPr>
        <w:spacing w:before="240" w:after="240"/>
        <w:rPr>
          <w:lang w:val="el" w:eastAsia="el"/>
        </w:rPr>
      </w:pPr>
      <w:r>
        <w:rPr>
          <w:b/>
          <w:bCs/>
          <w:lang w:val="el" w:eastAsia="el"/>
        </w:rPr>
        <w:t xml:space="preserve">3 </w:t>
      </w:r>
      <w:r>
        <w:rPr>
          <w:b/>
          <w:bCs/>
          <w:lang w:val="el" w:eastAsia="el"/>
        </w:rPr>
        <w:t>.Γραφείο Γενικού Δ/ντη Φορολογικών Λειτουργιών</w:t>
      </w:r>
    </w:p>
    <w:p>
      <w:pPr>
        <w:spacing w:before="240" w:after="240"/>
        <w:rPr>
          <w:lang w:val="el" w:eastAsia="el"/>
        </w:rPr>
      </w:pPr>
      <w:r>
        <w:rPr>
          <w:b/>
          <w:bCs/>
          <w:lang w:val="el" w:eastAsia="el"/>
        </w:rPr>
        <w:t xml:space="preserve">4 </w:t>
      </w:r>
      <w:r>
        <w:rPr>
          <w:b/>
          <w:bCs/>
          <w:lang w:val="el" w:eastAsia="el"/>
        </w:rPr>
        <w:t>.Γραφείο Γενικού Δ/ντη Ανθρώπινου Δυναμικού &amp; Οργάνωσης</w:t>
      </w:r>
    </w:p>
    <w:p>
      <w:pPr>
        <w:spacing w:before="240" w:after="240"/>
        <w:rPr>
          <w:lang w:val="el" w:eastAsia="el"/>
        </w:rPr>
      </w:pPr>
      <w:r>
        <w:rPr>
          <w:b/>
          <w:bCs/>
          <w:lang w:val="el" w:eastAsia="el"/>
        </w:rPr>
        <w:t>5.ΓΔΗΛΕΔ</w:t>
      </w:r>
    </w:p>
    <w:p>
      <w:pPr>
        <w:spacing w:before="240" w:after="240"/>
        <w:rPr>
          <w:lang w:val="el" w:eastAsia="el"/>
        </w:rPr>
      </w:pPr>
      <w:r>
        <w:rPr>
          <w:b/>
          <w:bCs/>
          <w:lang w:val="el" w:eastAsia="el"/>
        </w:rPr>
        <w:t xml:space="preserve">6 </w:t>
      </w:r>
      <w:r>
        <w:rPr>
          <w:b/>
          <w:bCs/>
          <w:lang w:val="el" w:eastAsia="el"/>
        </w:rPr>
        <w:t>.Δ/νση Ελεγκτικών Διαδικασιών</w:t>
      </w:r>
    </w:p>
    <w:p>
      <w:pPr>
        <w:spacing w:before="240" w:after="240"/>
        <w:rPr>
          <w:lang w:val="el" w:eastAsia="el"/>
        </w:rPr>
      </w:pPr>
      <w:r>
        <w:rPr>
          <w:b/>
          <w:bCs/>
          <w:lang w:val="el" w:eastAsia="el"/>
        </w:rPr>
        <w:t xml:space="preserve">7 </w:t>
      </w:r>
      <w:r>
        <w:rPr>
          <w:b/>
          <w:bCs/>
          <w:lang w:val="el" w:eastAsia="el"/>
        </w:rPr>
        <w:t>.Δ/νση Νομικής Υποστήριξης</w:t>
      </w:r>
    </w:p>
    <w:p>
      <w:pPr>
        <w:spacing w:before="240" w:after="240"/>
        <w:rPr>
          <w:lang w:val="el" w:eastAsia="el"/>
        </w:rPr>
      </w:pPr>
      <w:r>
        <w:rPr>
          <w:b/>
          <w:bCs/>
          <w:lang w:val="el" w:eastAsia="el"/>
        </w:rPr>
        <w:t xml:space="preserve">8 </w:t>
      </w:r>
      <w:r>
        <w:rPr>
          <w:b/>
          <w:bCs/>
          <w:lang w:val="el" w:eastAsia="el"/>
        </w:rPr>
        <w:t>. Δ/νση Εξυπηρέτησης</w:t>
      </w:r>
    </w:p>
    <w:p>
      <w:pPr>
        <w:spacing w:before="240" w:after="240"/>
        <w:rPr>
          <w:lang w:val="el" w:eastAsia="el"/>
        </w:rPr>
      </w:pPr>
      <w:r>
        <w:rPr>
          <w:b/>
          <w:bCs/>
          <w:lang w:val="el" w:eastAsia="el"/>
        </w:rPr>
        <w:t xml:space="preserve">9 </w:t>
      </w:r>
      <w:r>
        <w:rPr>
          <w:b/>
          <w:bCs/>
          <w:lang w:val="el" w:eastAsia="el"/>
        </w:rPr>
        <w:t>.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