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Α΄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E-Mail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ΕΞ. ΕΠΕΙΓΟYΣΑ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ΑΔΑ: ΨΣΛΕ46ΜΠ3Ζ-Υ6Θ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 , 9.4.2024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Ε.2022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Ως προς τον πίνακα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Θέμα: Συμπληρωματικές οδηγίες ως προς την υποχρέωση διακανονισμού φόρου εισροών για επενδυτικό αγαθό που δεν ετέθη σε λειτουργία εντός 5ετίας από την απόκτηση του (άρθρο 33 Κώδικα ΦΠΑ , ν.2859/2000- Α΄248).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ΠΕΡΙΛΗΨΗ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εγκύκλιος εκδίδεται σε συνέχεια των εγκυκλίων Ε. 2200/2019, Ε.2058/2021, Ε.2028/2022 και Ε.2021/2023, σχετικά με την υποχρέωση διακανονισμού φόρου εισροών για επενδυτικό αγαθό που δεν ετέθη σε λειτουργία εντός 5ετίας από την απόκτηση του.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Στην εγκύκλιο αναφέρονται οι προθεσμίες ολοκλήρωσης των επενδυτικών σχεδίων που έχουν υπαχθεί στους νόμους 3299/2004 (A’ 261) , 3908/2011 (Α’ 8) και 4399/2016 (Α’ 117) και 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σχεδίου, ώστε να μην υπάρχει η υποχρέωση διακανονισμού του φόρου εισροών.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εγκύκλιος αφορά υποκείμενες στον φόρο επιχειρήσεις των οποίων τα επενδυτικά σχέδια έχουν υπαχθεί στους νόμους 3299/2004, 3908/2011 και 4399/2016 και έχουν λάβει παράταση ολοκλήρωσης.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Σε συνέχεια των εγκυκλίων Ε.2200/2019, Ε.2058/2021, Ε.2028/2022 και Ε.2021/2023, αναφορικά με την υποχρέωση του υποκειμένου προς διακανονισμό του φόρου εισροών επενδυτικού αγαθού που δεν χρησιμοποιήθηκε εντός 5ετίας από την πραγματοποίηση της δαπάνης για απόκτηση ή κατασκευή αυτού, και δεδομένων των νέων παρατάσεων των προθεσμιών ολοκλήρωσης των επενδυτικών σχεδίων που έχουν υπαχθεί στους νόμους 3299/2004 (Α΄ 261), 3908/2011 (Α΄ 8) και 4399/2016 (Α΄117) και των στοιχείων που μας γνώρισε το Υπουργείο Ανάπτυξης, παρέχουμε τις ακόλουθες συμπληρωματικές οδηγίες: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α. Με τις παρ. 1 και 2 του άρθρου 52 του ν. 5079/2023 (Α΄ 215) ρυθμίζονται ζητήματα προθεσμίας ολοκλήρωσης επενδυτικών σχεδίων που έχουν υπαχθεί στις διατάξεις του ν. 3299/2004 (Α΄ 261).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Με το άρθρο 53 του ν. 5079/2023 (Α΄215) ρυθμίζονται ζητήματα προθεσμίας ολοκλήρωσης επενδυτικών σχεδίων που έχουν υπαχθεί στις διατάξεις του ν. 3908/2011.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Με το άρθρο 54 του ν. 5079/2023 (Α΄ 215), ρυθμίζονται ζητήματα προθεσμίας ολοκλήρωσης επενδυτικών σχεδίων που έχουν υπαχθεί στις διατάξεις του ν.4399/2016.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Εν προκειμένω με τις νέες ρυθμίσεις έλαβαν οριζόντιες παρατάσεις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Μέχρι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Απριλίου 2024 τα επενδυτικά σχέδια που έχουν υπαχθεί στον αναπτυξιακό ν.3299/2004, για τα οποία οι φορείς των υποχρεούνται μέχρι την ίδια ημερομηνία (1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 </w:t>
      </w:r>
      <w:r>
        <w:rPr>
          <w:b/>
          <w:bCs/>
          <w:lang w:val="el" w:eastAsia="el"/>
        </w:rPr>
        <w:t>Απριλίου) να υποβάλουν αίτηση για την πιστοποίηση της ολοκλήρωσης και έναρξης της παραγωγικής λειτουργίας 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Μέχρι την 31 Δεκεμβρίου 2024 (1 έτος) τα επενδυτικά σχέδια που έχουν υπαχθεί στον αναπτυξιακό ν.3908/2011 με την προϋπόθεση ότι μέχρι την 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Δεκεμβρίου 2023 έχει υλοποιηθεί τουλάχιστον το 25% του επιλέξιμου κόστους των και έχει υποβληθεί έως την 1</w:t>
      </w:r>
      <w:r>
        <w:rPr>
          <w:b/>
          <w:bCs/>
          <w:sz w:val="30"/>
          <w:szCs w:val="30"/>
          <w:vertAlign w:val="superscript"/>
          <w:lang w:val="el" w:eastAsia="el"/>
        </w:rPr>
        <w:t xml:space="preserve">η </w:t>
      </w:r>
      <w:r>
        <w:rPr>
          <w:b/>
          <w:bCs/>
          <w:lang w:val="el" w:eastAsia="el"/>
        </w:rPr>
        <w:t>Μαρτίου 2024 σχετική αίτηση με συνημμένα δικαιολογητικά υλοποίησης του 25% του συνολικού κόστους των.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Στην περίπτωση των επενδυτικών σχεδίων που έχουν υπαχθεί στα καθεστώτα ενισχύσεων του ν. 4399/2016, ο υπολογισμός της παράτασης συναρτάται με την ημερομηνία ολοκλήρωσης που προκύπτει από κάθε εγκριτική πράξη – απόφαση υπαγωγής. Εν προκειμένω χορηγείται παράταση δύο (2) ετών για το σύνολο των επενδυτικών σχεδίων που έχουν υπαχθεί μετά την 24η Μαΐου 2021στις διατάξεις του ν. 4399/2016 εφόσον έως την ημερομηνία ολοκλήρωσης που ορίζεται στην απόφαση υπαγωγής, έχει υλοποιηθεί τουλάχιστον το δέκα τοις εκατό (10%) του επιλέξιμου κόστους και έχει υποβληθεί, έως τη συμπλήρωση δύο (2) μηνών από την οριζόμενη ημερομηνία ολοκλήρωσης, σχετική αίτηση με συνημμένα δικαιολογητικά υλοποίησης δαπανών του δέκα τοις εκατό (10%) του συνολικού κόστους των. Περαιτέρω παρέχεται η δυνατότητα πρόσθετης παράτασης του χρόνου υλοποίησής τους έξι (6) μηνών προκειμένου να πιστοποιηθούν δαπάνες ενισχυόμενων δαπανών μέχρι το ποσοστό του πενήντα τοις εκατό (50%). Η προθεσμία αυτή δεν συνυπολογίζεται στην παρεχόμενη προθεσμία ολοκλήρωσης των δύο (2) ετών.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Τα δικαιολογητικά που οφείλουν να έχουν οι υποκείμενες στον φόρο επιχειρήσεις προκειμένου να αποδεικνύουν το δικαίωμα παράτασης ολοκλήρωσης του επενδυτικού σχεδίου, ώστε να μην υπάρχει η υποχρέωση διακανονισμού του φόρου, είναι τα παρακάτω: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Για τα επενδυτικά σχέδια που έχουν υπαχθεί στις διατάξεις του ν. 3299/2004, απαιτείται η απόφαση υπαγωγής στις διατάξεις του νόμου αυτού καθώς και το αντίγραφο της αίτησης για την πιστοποίηση της ολοκλήρωσης και έναρξης της παραγωγικής λειτουργίας της επένδυσης η οποία σύμφωνα με τα ανωτέρω θα πρέπει να έχει υποβληθεί μέχρι την 1η Απριλίου 2024.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Για τα επενδυτικά σχέδια που έχουν υπαχθεί στις διατάξεις του ν. 3908/2011, απαιτείται η απόφαση υπαγωγής στις διατάξεις του νόμου αυτού, και η απόφαση χορήγησης παράτασης της προθεσμίας ολοκλήρωσης ή σε περίπτωση που αυτή δεν έχει εκδοθεί, αντίγραφο της αίτησης για χορήγηση παράτασης ,η οποία θα πρέπει να έχει υποβληθεί μέχρι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Μαρτίου 2024 και με την οποία δηλώνεται η υλοποίηση του 25% του συνολικού κόστους επένδυσης.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Για τα επενδυτικά σχέδια που έχουν υπαχθεί στις διατάξεις του ν. 4399/2016, απαιτείται η σχετική απόφαση υπαγωγής στις διατάξεις του νόμου αυτού καθώς και αντίγραφο του φύλλου της Εφημερίδας της Κυβέρνησης στο οποίο είναι δημοσιευμένη η περίληψη της απόφασης υπαγωγής.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Στην περίπτωση που η απόφαση έχει δημοσιευτεί μετά τις 24-05-2021 απαιτείται και αντίγραφο της αίτησης με την οποία δηλώνεται η υλοποίηση δαπανών του 10% του συνολικού κόστους επένδυσης.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Κατά τα λοιπά, ισχύουν οι οδηγίες που έχουν δοθεί με την εγκύκλιο Ε. 2200/2019.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ΑΝΕΞΑΡΤΗΤΗΣ 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Αποδέκτες Πίνακα Γ’, πλην αριθμ. 2 και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Διεύθυνση Στρατηγικής Τεχνολογιών Πληροφορικής για ανάρτηση στην ιστοσελίδα της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Ηλεκτρονικη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98"/>
        <w:gridCol w:w="5281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1.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2.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3.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Αποδέκτες Πίνακα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» 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Α΄ μόνο οι αριθμ. 1 και 4.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Β΄.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Γ΄, μόνο οι αριθμ. 2 και 3.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Ζ΄.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Θ΄ μόνο οι αριθμ 13,19,20.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ΙΒ΄ΙΓ’,ΙΕ΄,ΙΖ, ΙΗ΄, ΙΣΤ΄, Κ΄, ΚΒ΄, ΚΓ΄,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Γραφείο Υπουργού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Γραφείο Υφυπουργού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Γραφείο Γεν. Γραμματέα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Διεύθυνση Φορολογικής Πολιτικής της Γενικής Γραμματείας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Γραφείο Διοικητή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Γραφείο κ. 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Διεύθυνση Εφαρμογής Έμμεσης Φορολογίας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