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&amp;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Τηλέφωνα:</w:t>
      </w:r>
    </w:p>
    <w:p>
      <w:pPr>
        <w:spacing w:before="240" w:after="240"/>
        <w:rPr>
          <w:lang w:val="el" w:eastAsia="el"/>
        </w:rPr>
      </w:pPr>
      <w:r>
        <w:rPr>
          <w:b/>
          <w:bCs/>
          <w:lang w:val="el" w:eastAsia="el"/>
        </w:rPr>
        <w:t>210 3635963,3630573</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Τηλέφωνα: 2106987439</w:t>
      </w:r>
    </w:p>
    <w:p>
      <w:pPr>
        <w:spacing w:before="240" w:after="240"/>
        <w:rPr>
          <w:lang w:val="el" w:eastAsia="el"/>
        </w:rPr>
      </w:pPr>
      <w:r>
        <w:rPr>
          <w:b/>
          <w:bCs/>
          <w:lang w:val="el" w:eastAsia="el"/>
        </w:rPr>
        <w:t>ΘΕΜΑ: Παροχή διευκρινίσεων σχετικά με τα άρθρα 88 - 91 του ν. 5104/2024</w:t>
      </w:r>
    </w:p>
    <w:p>
      <w:pPr>
        <w:spacing w:before="240" w:after="240"/>
        <w:rPr>
          <w:lang w:val="el" w:eastAsia="el"/>
        </w:rPr>
      </w:pPr>
      <w:r>
        <w:rPr>
          <w:b/>
          <w:bCs/>
          <w:lang w:val="el" w:eastAsia="el"/>
        </w:rPr>
        <w:t>(Α΄58) περί απώλειας νομοθετικών ρυθμίσεων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απώλεια ρυθμίσεων σύμφωνα με τα άρθρα 88-91 του Κώδικα Φορολογικής Διαδικασίας και άλλες διατάξεις (ν. 5104/2024, Α΄58).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διευκρινίζεται για λόγους χρηστής διοίκησης ο όρος απώλειας των ρυθμίσεων σύμφωνα με τις διατάξεις της υποπαρ. Α2 παρ. Α του άρθρου πρώτου του ν.4152/2013 (Α΄107), του άρθρου 43 του ν.4174/2013 (Α΄170), του άρθρου 51 του ν.4305/2014 (Α΄237), των άρθρων 1-17 του ν.4321/2015 (Α΄32), των άρθρων 98109 του ν.4611/2019 (Α΄73), του άρθρου 293 του ν.4738/2020 (Α΄207) και των άρθρων 4-13 του ν. 5036/2023 (Α΄77) αναφορικά με την ύπαρξη ληξιπρόθεσμων οφειλών εκτός ρύθμισης, όπως διαμορφώθηκε με τα άρθρα 88-91 του ν. 5104/2024.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Φυσικά και Νομικά Πρόσωπα που έχουν υπαχθεί σε ρύθμιση/ρυθμίσεις τμηματικής καταβολής βεβαιωμένων στη Φορολογική Διοίκηση οφειλών.</w:t>
      </w:r>
    </w:p>
    <w:p>
      <w:pPr>
        <w:spacing w:before="240" w:after="240"/>
        <w:rPr>
          <w:lang w:val="el" w:eastAsia="el"/>
        </w:rPr>
      </w:pPr>
      <w:r>
        <w:rPr>
          <w:b/>
          <w:bCs/>
          <w:lang w:val="el" w:eastAsia="el"/>
        </w:rPr>
        <w:t>Με τις διατάξεις των άρθρων 88-91 του ν. 5104/2024 (Α΄58) επέρχονται τροποποιήσεις επί των όρων και προϋποθέσεων απώλειας ρυθμίσεων τμηματικής καταβολής βεβαιωμένων στη Φορολογική Διοίκηση οφειλών.</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Στα άρθρα 88-91 του ν. 5104/2024 (Α΄58) που αφορούν τους λόγους απώλειας των διατάξεων:</w:t>
      </w:r>
    </w:p>
    <w:p>
      <w:pPr>
        <w:pStyle w:val="StructureList1"/>
        <w:spacing w:before="120" w:after="0"/>
        <w:rPr>
          <w:lang w:val="el" w:eastAsia="el"/>
        </w:rPr>
      </w:pPr>
      <w:r>
        <w:rPr>
          <w:lang w:val="el" w:eastAsia="el"/>
        </w:rPr>
        <w:t>α)</w:t>
      </w:r>
      <w:r>
        <w:rPr>
          <w:lang w:val="en" w:eastAsia="en"/>
        </w:rPr>
        <w:tab/>
      </w:r>
      <w:r>
        <w:rPr>
          <w:b/>
          <w:bCs/>
          <w:lang w:val="el" w:eastAsia="el"/>
        </w:rPr>
        <w:t>της υποπαρ. Α2 παρ. Α του άρθρου πρώτου του ν.4152/2013 (Α΄107),</w:t>
      </w:r>
    </w:p>
    <w:p>
      <w:pPr>
        <w:pStyle w:val="StructureList1"/>
        <w:spacing w:before="120" w:after="0"/>
        <w:rPr>
          <w:lang w:val="el" w:eastAsia="el"/>
        </w:rPr>
      </w:pPr>
      <w:r>
        <w:rPr>
          <w:lang w:val="el" w:eastAsia="el"/>
        </w:rPr>
        <w:t>β)</w:t>
      </w:r>
      <w:r>
        <w:rPr>
          <w:lang w:val="en" w:eastAsia="en"/>
        </w:rPr>
        <w:tab/>
      </w:r>
      <w:r>
        <w:rPr>
          <w:b/>
          <w:bCs/>
          <w:lang w:val="el" w:eastAsia="el"/>
        </w:rPr>
        <w:t>του άρθρου 43 του ν.4174/2013 (Α΄170),</w:t>
      </w:r>
    </w:p>
    <w:p>
      <w:pPr>
        <w:pStyle w:val="StructureList1"/>
        <w:spacing w:before="120" w:after="0"/>
        <w:rPr>
          <w:lang w:val="el" w:eastAsia="el"/>
        </w:rPr>
      </w:pPr>
      <w:r>
        <w:rPr>
          <w:lang w:val="el" w:eastAsia="el"/>
        </w:rPr>
        <w:t>γ)</w:t>
      </w:r>
      <w:r>
        <w:rPr>
          <w:lang w:val="en" w:eastAsia="en"/>
        </w:rPr>
        <w:tab/>
      </w:r>
      <w:r>
        <w:rPr>
          <w:b/>
          <w:bCs/>
          <w:lang w:val="el" w:eastAsia="el"/>
        </w:rPr>
        <w:t>του άρθρου 51 του ν.4305/2014 (Α΄237),</w:t>
      </w:r>
    </w:p>
    <w:p>
      <w:pPr>
        <w:pStyle w:val="StructureList1"/>
        <w:spacing w:before="120" w:after="0"/>
        <w:rPr>
          <w:lang w:val="el" w:eastAsia="el"/>
        </w:rPr>
      </w:pPr>
      <w:r>
        <w:rPr>
          <w:lang w:val="el" w:eastAsia="el"/>
        </w:rPr>
        <w:t>δ)</w:t>
      </w:r>
      <w:r>
        <w:rPr>
          <w:lang w:val="en" w:eastAsia="en"/>
        </w:rPr>
        <w:tab/>
      </w:r>
      <w:r>
        <w:rPr>
          <w:b/>
          <w:bCs/>
          <w:lang w:val="el" w:eastAsia="el"/>
        </w:rPr>
        <w:t>των άρθρων 1-17 του ν.4321/2015 (Α΄32),</w:t>
      </w:r>
    </w:p>
    <w:p>
      <w:pPr>
        <w:pStyle w:val="StructureList1"/>
        <w:spacing w:before="120" w:after="0"/>
        <w:rPr>
          <w:lang w:val="el" w:eastAsia="el"/>
        </w:rPr>
      </w:pPr>
      <w:r>
        <w:rPr>
          <w:lang w:val="el" w:eastAsia="el"/>
        </w:rPr>
        <w:t>ε)</w:t>
      </w:r>
      <w:r>
        <w:rPr>
          <w:lang w:val="en" w:eastAsia="en"/>
        </w:rPr>
        <w:tab/>
      </w:r>
      <w:r>
        <w:rPr>
          <w:b/>
          <w:bCs/>
          <w:lang w:val="el" w:eastAsia="el"/>
        </w:rPr>
        <w:t>των άρθρων 98-109 του ν.4611/2019 (Α΄73),</w:t>
      </w:r>
    </w:p>
    <w:p>
      <w:pPr>
        <w:pStyle w:val="StructureList1"/>
        <w:spacing w:before="120" w:after="0"/>
        <w:rPr>
          <w:lang w:val="el" w:eastAsia="el"/>
        </w:rPr>
      </w:pPr>
      <w:r>
        <w:rPr>
          <w:lang w:val="el" w:eastAsia="el"/>
        </w:rPr>
        <w:t>στ)</w:t>
      </w:r>
      <w:r>
        <w:rPr>
          <w:lang w:val="en" w:eastAsia="en"/>
        </w:rPr>
        <w:tab/>
      </w:r>
      <w:r>
        <w:rPr>
          <w:b/>
          <w:bCs/>
          <w:lang w:val="el" w:eastAsia="el"/>
        </w:rPr>
        <w:t>του άρθρου 293 του ν.4738/2020 (Α΄207) και</w:t>
      </w:r>
    </w:p>
    <w:p>
      <w:pPr>
        <w:pStyle w:val="StructureList1"/>
        <w:spacing w:before="120" w:after="0"/>
        <w:rPr>
          <w:lang w:val="el" w:eastAsia="el"/>
        </w:rPr>
      </w:pPr>
      <w:r>
        <w:rPr>
          <w:lang w:val="el" w:eastAsia="el"/>
        </w:rPr>
        <w:t>ζ)</w:t>
      </w:r>
      <w:r>
        <w:rPr>
          <w:lang w:val="en" w:eastAsia="en"/>
        </w:rPr>
        <w:tab/>
      </w:r>
      <w:r>
        <w:rPr>
          <w:b/>
          <w:bCs/>
          <w:lang w:val="el" w:eastAsia="el"/>
        </w:rPr>
        <w:t>των άρθρων 4-13 του ν. 5036/2023 (Α΄77)</w:t>
      </w:r>
    </w:p>
    <w:p>
      <w:pPr>
        <w:spacing w:before="240" w:after="240"/>
        <w:rPr>
          <w:lang w:val="el" w:eastAsia="el"/>
        </w:rPr>
      </w:pPr>
      <w:r>
        <w:rPr>
          <w:b/>
          <w:bCs/>
          <w:lang w:val="el" w:eastAsia="el"/>
        </w:rPr>
        <w:t>η ρύθμιση απόλλυται με συνέπεια την υποχρεωτική άμεση καταβολή του υπολοίπου της οφειλής εφόσον, μεταξύ άλλων, ο οφειλέτης:</w:t>
      </w:r>
    </w:p>
    <w:p>
      <w:pPr>
        <w:pStyle w:val="StructureList1"/>
        <w:spacing w:before="120" w:after="0"/>
        <w:rPr>
          <w:lang w:val="el" w:eastAsia="el"/>
        </w:rPr>
      </w:pPr>
      <w:r>
        <w:rPr>
          <w:lang w:val="el" w:eastAsia="el"/>
        </w:rPr>
        <w:t>i)</w:t>
      </w:r>
      <w:r>
        <w:rPr>
          <w:lang w:val="en" w:eastAsia="en"/>
        </w:rPr>
        <w:tab/>
      </w:r>
      <w:r>
        <w:rPr>
          <w:b/>
          <w:bCs/>
          <w:lang w:val="el" w:eastAsia="el"/>
        </w:rPr>
        <w:t>για τις περ. α, β, δ, ε και στ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pStyle w:val="StructureList1"/>
        <w:spacing w:before="120" w:after="0"/>
        <w:rPr>
          <w:lang w:val="el" w:eastAsia="el"/>
        </w:rPr>
      </w:pPr>
      <w:r>
        <w:rPr>
          <w:lang w:val="el" w:eastAsia="el"/>
        </w:rPr>
        <w:t>ii)</w:t>
      </w:r>
      <w:r>
        <w:rPr>
          <w:lang w:val="en" w:eastAsia="en"/>
        </w:rPr>
        <w:tab/>
      </w:r>
      <w:r>
        <w:rPr>
          <w:b/>
          <w:bCs/>
          <w:lang w:val="el" w:eastAsia="el"/>
        </w:rPr>
        <w:t>για τις περ. α-ζ δεν εξοφλήσει ή τακτοποιήσει κατά νόμιμο τρόπο τις οφειλές του, καθ’ όλη τη διάρκεια των ανωτέρω ρυθμίσεων, εντός τριμήνου από τη λήξη της προθεσμίας καταβολής τους.</w:t>
      </w:r>
    </w:p>
    <w:p>
      <w:pPr>
        <w:spacing w:before="240" w:after="240"/>
        <w:rPr>
          <w:lang w:val="el" w:eastAsia="el"/>
        </w:rPr>
      </w:pPr>
      <w:r>
        <w:rPr>
          <w:b/>
          <w:bCs/>
          <w:lang w:val="el" w:eastAsia="el"/>
        </w:rPr>
        <w:t>Για λόγους χρηστής διοίκησης και προστασίας της εύλογης εμπιστοσύνης του διοικούμενου απώλεια δεν επέρχεται για εκείνους τους οφειλέτες που θα εξοφλήσουν/τακτοποιήσουν κατά νόμιμο τρόπο τις λοιπές οφειλές τους, των οποίων η προθεσμία καταβολής έχει παρέλθει πριν την 19</w:t>
      </w:r>
      <w:r>
        <w:rPr>
          <w:b/>
          <w:bCs/>
          <w:sz w:val="30"/>
          <w:szCs w:val="30"/>
          <w:vertAlign w:val="superscript"/>
          <w:lang w:val="el" w:eastAsia="el"/>
        </w:rPr>
        <w:t>η</w:t>
      </w:r>
      <w:r>
        <w:rPr>
          <w:b/>
          <w:bCs/>
          <w:lang w:val="el" w:eastAsia="el"/>
        </w:rPr>
        <w:t>.4.2024 (ημερομηνία ισχύος του ν. 5104/2024), εντός τριών μηνών από την ημερομηνία αυτή.</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(πλην των αποδεκτών προς ενέργεια), Β, Ε, ΣΤ, Ζ, Η, Θ,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8. </w:t>
      </w:r>
      <w:r>
        <w:rPr>
          <w:b/>
          <w:bCs/>
          <w:lang w:val="el" w:eastAsia="el"/>
        </w:rPr>
        <w:t>Διεύθυνση Τελωνειακών Διαδικασιών</w:t>
      </w:r>
    </w:p>
    <w:p>
      <w:pPr>
        <w:spacing w:before="240" w:after="240"/>
        <w:rPr>
          <w:lang w:val="el" w:eastAsia="el"/>
        </w:rPr>
      </w:pPr>
      <w:r>
        <w:rPr>
          <w:lang w:val="el" w:eastAsia="el"/>
        </w:rPr>
        <w:t xml:space="preserve">9.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