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9Μ4046ΜΠ3Ζ-ΧΕΑ</w:t>
      </w:r>
    </w:p>
    <w:p>
      <w:pPr>
        <w:pStyle w:val="PreambelText"/>
        <w:spacing w:before="240" w:after="240"/>
        <w:rPr>
          <w:lang w:val="el" w:eastAsia="el"/>
        </w:rPr>
      </w:pPr>
      <w:r>
        <w:rPr>
          <w:b/>
          <w:bCs/>
          <w:lang w:val="el" w:eastAsia="el"/>
        </w:rPr>
        <w:t>Ταύρος, 07/11/2024</w:t>
      </w:r>
    </w:p>
    <w:p>
      <w:pPr>
        <w:pStyle w:val="PreambelText"/>
        <w:spacing w:before="240" w:after="240"/>
        <w:rPr>
          <w:lang w:val="el" w:eastAsia="el"/>
        </w:rPr>
      </w:pPr>
      <w:r>
        <w:rPr>
          <w:b/>
          <w:bCs/>
          <w:lang w:val="el" w:eastAsia="el"/>
        </w:rPr>
        <w:t>Αριθ. Πρωτ.: Ε.2068</w:t>
      </w:r>
    </w:p>
    <w:p>
      <w:pPr>
        <w:pStyle w:val="PreambelText"/>
        <w:spacing w:before="240" w:after="240"/>
        <w:rPr>
          <w:lang w:val="el" w:eastAsia="el"/>
        </w:rPr>
      </w:pPr>
      <w:r>
        <w:rPr>
          <w:b/>
          <w:bCs/>
          <w:lang w:val="el" w:eastAsia="el"/>
        </w:rPr>
        <w:t>ΕΙΔΙΚΩΝ ΚΑΘΕΣΤΩΤΩΝ ΚΑΙ ΑΠΑΛΛΑΓΩΝ –</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Ε-Mail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180 186</w:t>
      </w:r>
    </w:p>
    <w:p>
      <w:pPr>
        <w:spacing w:before="240" w:after="240"/>
        <w:rPr>
          <w:lang w:val="el" w:eastAsia="el"/>
        </w:rPr>
      </w:pPr>
      <w:r>
        <w:rPr>
          <w:b/>
          <w:bCs/>
          <w:lang w:val="el" w:eastAsia="el"/>
        </w:rPr>
        <w:t>177 87 Ταύρος</w:t>
      </w:r>
    </w:p>
    <w:p>
      <w:pPr>
        <w:spacing w:before="240" w:after="240"/>
        <w:rPr>
          <w:lang w:val="el" w:eastAsia="el"/>
        </w:rPr>
      </w:pPr>
      <w:r>
        <w:rPr>
          <w:b/>
          <w:bCs/>
          <w:lang w:val="el" w:eastAsia="el"/>
        </w:rPr>
        <w:t>Κ. Τριαδάς</w:t>
      </w:r>
    </w:p>
    <w:p>
      <w:pPr>
        <w:spacing w:before="240" w:after="240"/>
        <w:rPr>
          <w:lang w:val="el" w:eastAsia="el"/>
        </w:rPr>
      </w:pPr>
      <w:r>
        <w:rPr>
          <w:b/>
          <w:bCs/>
          <w:lang w:val="el" w:eastAsia="el"/>
        </w:rPr>
        <w:t>2131410702</w:t>
      </w:r>
    </w:p>
    <w:p>
      <w:pPr>
        <w:spacing w:before="240" w:after="240"/>
        <w:rPr>
          <w:lang w:val="el" w:eastAsia="el"/>
        </w:rPr>
      </w:pPr>
      <w:hyperlink r:id="rId4" w:history="1">
        <w:r>
          <w:rPr>
            <w:rStyle w:val="Hyperlink"/>
            <w:b/>
            <w:bCs/>
            <w:color w:val="0000EE"/>
            <w:u w:color="0000EE"/>
            <w:lang w:val="el" w:eastAsia="el"/>
          </w:rPr>
          <w:t>ddtheka@aade.gr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2) ΓΕΝΙΚΗ ΔΙΕΥΘΥΝΣΗ ΗΛΕΚΤΡΟΝΙΚΗΣ</w:t>
      </w:r>
    </w:p>
    <w:p>
      <w:pPr>
        <w:spacing w:before="240" w:after="240"/>
        <w:rPr>
          <w:lang w:val="el" w:eastAsia="el"/>
        </w:rPr>
      </w:pPr>
      <w:r>
        <w:rPr>
          <w:b/>
          <w:bCs/>
          <w:lang w:val="el" w:eastAsia="el"/>
        </w:rPr>
        <w:t>ΔΙΑΚΥΒΕΡΝΗΣΗΣ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ΔΙΕΥΘΥΝΣΗ ΑΝΑΠΤΥΞΗΣ ΤΕΛΩΝΕΙΑΚΩΝ ΕΛΕΓΚΤΙΚΩΝ ΚΑΙ ΕΠΙΧ/ΚΩΝ ΕΦΑΡΜΟΓΩΝ</w:t>
      </w:r>
    </w:p>
    <w:p>
      <w:pPr>
        <w:spacing w:before="240" w:after="240"/>
        <w:rPr>
          <w:lang w:val="el" w:eastAsia="el"/>
        </w:rPr>
      </w:pPr>
      <w:r>
        <w:rPr>
          <w:b/>
          <w:bCs/>
          <w:lang w:val="el" w:eastAsia="el"/>
        </w:rPr>
        <w:t>(Δ.Α.Τ.Ε.) /ΥΠΟΔΙΕΥΘΥΝΣΗ ΑΝΑΠΤΥΞΗΣ</w:t>
      </w:r>
    </w:p>
    <w:p>
      <w:pPr>
        <w:spacing w:before="240" w:after="240"/>
        <w:rPr>
          <w:lang w:val="el" w:eastAsia="el"/>
        </w:rPr>
      </w:pPr>
      <w:r>
        <w:rPr>
          <w:b/>
          <w:bCs/>
          <w:lang w:val="el" w:eastAsia="el"/>
        </w:rPr>
        <w:t>ΤΕΛΩΝΕΙΑΚΩΝ ΕΦΑΡΜΟΓΩΝ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β)Δ/ΝΣΗ ΕΠΙΧΕΙΡΗΣΙΑΚΩΝ ΔΙΑΔΙΚΑΣΙΩΝ (ΔΙ.ΕΠΙ.ΔΙ)//ΥΠΟΔΙΕΥΘΥΝΣΗ Β΄ ΑΠΑΙΤΗΣΕΩΝ</w:t>
      </w:r>
    </w:p>
    <w:p>
      <w:pPr>
        <w:spacing w:before="240" w:after="240"/>
        <w:rPr>
          <w:lang w:val="el" w:eastAsia="el"/>
        </w:rPr>
      </w:pPr>
      <w:r>
        <w:rPr>
          <w:b/>
          <w:bCs/>
          <w:lang w:val="el" w:eastAsia="el"/>
        </w:rPr>
        <w:t>ΚΑΙ ΕΛΕΓΧΟΥ ΕΦΑΡΜΟΓΩΝ ΤΕΛΩΝΕΙΩΝ</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Ταχ. Δ/νση Ταχ. Κώδικας 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72</w:t>
      </w:r>
    </w:p>
    <w:p>
      <w:pPr>
        <w:spacing w:before="240" w:after="240"/>
        <w:rPr>
          <w:lang w:val="el" w:eastAsia="el"/>
        </w:rPr>
      </w:pPr>
      <w:r>
        <w:rPr>
          <w:b/>
          <w:bCs/>
          <w:lang w:val="el" w:eastAsia="el"/>
        </w:rPr>
        <w:t>Moσχάτο</w:t>
      </w:r>
    </w:p>
    <w:p>
      <w:pPr>
        <w:spacing w:before="240" w:after="240"/>
        <w:rPr>
          <w:lang w:val="el" w:eastAsia="el"/>
        </w:rPr>
      </w:pPr>
      <w:r>
        <w:rPr>
          <w:b/>
          <w:bCs/>
          <w:lang w:val="el" w:eastAsia="el"/>
        </w:rPr>
        <w:t>Γ. ΚΑΪΣΑΡΛΗΣ</w:t>
      </w:r>
    </w:p>
    <w:p>
      <w:pPr>
        <w:spacing w:before="240" w:after="240"/>
        <w:rPr>
          <w:lang w:val="el" w:eastAsia="el"/>
        </w:rPr>
      </w:pPr>
      <w:r>
        <w:rPr>
          <w:b/>
          <w:bCs/>
          <w:lang w:val="el" w:eastAsia="el"/>
        </w:rPr>
        <w:t xml:space="preserve">Δ.ΜΠΑΪΡΑΚΤΑΡΗΣ 2131356341, 2131356753 </w:t>
      </w:r>
      <w:hyperlink r:id="rId6" w:history="1">
        <w:r>
          <w:rPr>
            <w:rStyle w:val="Hyperlink"/>
            <w:b/>
            <w:bCs/>
            <w:color w:val="0000EE"/>
            <w:u w:color="0000EE"/>
            <w:lang w:val="el" w:eastAsia="el"/>
          </w:rPr>
          <w:t>secr icis@ aade.gr</w:t>
        </w:r>
      </w:hyperlink>
      <w:hyperlink r:id="rId7" w:history="1">
        <w:r>
          <w:rPr>
            <w:rStyle w:val="Hyperlink"/>
            <w:b/>
            <w:bCs/>
            <w:color w:val="0000EE"/>
            <w:u w:color="0000EE"/>
            <w:lang w:val="el" w:eastAsia="el"/>
          </w:rPr>
          <w:t>date1@ aade.gr</w:t>
        </w:r>
      </w:hyperlink>
    </w:p>
    <w:p>
      <w:pPr>
        <w:spacing w:before="240" w:after="240"/>
        <w:rPr>
          <w:lang w:val="el" w:eastAsia="el"/>
        </w:rPr>
      </w:pPr>
      <w:hyperlink r:id="rId8"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προς τον πίνακα διανομής</w:t>
      </w:r>
    </w:p>
    <w:p>
      <w:pPr>
        <w:spacing w:before="240" w:after="240"/>
        <w:rPr>
          <w:lang w:val="el" w:eastAsia="el"/>
        </w:rPr>
      </w:pPr>
      <w:r>
        <w:rPr>
          <w:b/>
          <w:bCs/>
          <w:u w:val="single"/>
          <w:lang w:val="el" w:eastAsia="el"/>
        </w:rPr>
        <w:t>Θέμα: «Παροχή οδηγιών σχετικά με τον έλεγχο εγκυρότητας Γνωστοποιήσεων Αποτελέσματος Πιστοποίησης Αναπηρίας του ΚΕ.Π.Α. μέσω της ψηφιακής εφαρμογής «Αναζήτηση Πιστοποιητικών Αναπηρίας» για την χορήγηση απαλλαγής από το τέλος ταξινόμησης ΙΧ επιβατικών αυτοκινήτων»</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παροχή οδηγιών σχετικά με τον έλεγχο εγκυρότητας Γνωστοποιήσεων Αποτελέσματος Πιστοποίησης Αναπηρίας του ΚΕ.Π.Α. μέσω της ψηφιακής εφαρμογής «Αναζήτηση Πιστοποιητικών Αναπηρίας».</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παρέχονται οδηγίες α) για τον έλεγχο εγκυρότητας Γνωστοποιήσεων Αποτελέσματος Πιστοποίησης Αναπηρίας του ΚΕ.Π.Α. που υποβάλλονται από δικαιούχα για την χορήγηση της απαλλαγής από το τέλος ταξινόμησης πρόσωπα και β) την πρόσβαση και διαχείριση της ψηφιακής εφαρμογής «Αναζήτηση Πιστοποιητικών Αναπηρίας».</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Το πεδίο εφαρμογής αφορά: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σε άτομα με αναπηρίες που αιτούνται την παραλαβή ΙΧ επιβατικού αυτοκινήτου με απαλλαγή από το τέλος ταξινόμησης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στις αρμόδιες Τελωνειακές Αρχές</w:t>
      </w:r>
    </w:p>
    <w:p>
      <w:pPr>
        <w:spacing w:before="240" w:after="240"/>
        <w:rPr>
          <w:lang w:val="el" w:eastAsia="el"/>
        </w:rPr>
      </w:pPr>
      <w:r>
        <w:rPr>
          <w:u w:val="single"/>
          <w:lang w:val="el" w:eastAsia="el"/>
        </w:rPr>
        <w:t xml:space="preserve">1. </w:t>
      </w:r>
      <w:r>
        <w:rPr>
          <w:b/>
          <w:bCs/>
          <w:u w:val="single"/>
          <w:lang w:val="el" w:eastAsia="el"/>
        </w:rPr>
        <w:t>Με τις διατάξεις του άρθρου 16 του ν. 1798/1988 (Α΄166) προβλέπεται η χορήγηση απαλλαγής από το τέλος ταξινόμησης ΙΧ επιβατικών αυτοκινήτων που παραλαμβάνονται από Άτομα με αναπηρίες (ΑΜΕΑ). Για την χορήγηση της εν λόγω απαλλαγής υποβάλλεται με το τελωνειακό παραστατικό στην αρμόδια τελωνειακή αρχή, μεταξύ άλλων, Γνωμάτευση Αποτελέσματος Πιστοποίησης Αναπηρίας του ΚΕ.Π.Α. σύμφωνα με τα προβλεπόμενα στην αρ. Δ18Α 5038645 ΕΞ2013/29.10.2013 απόφαση του Υφυπουργού Οικονομικών Προϋποθέσεις, (Β΄ 2774).</w:t>
      </w:r>
    </w:p>
    <w:p>
      <w:pPr>
        <w:spacing w:before="240" w:after="240"/>
        <w:rPr>
          <w:lang w:val="el" w:eastAsia="el"/>
        </w:rPr>
      </w:pPr>
      <w:r>
        <w:rPr>
          <w:b/>
          <w:bCs/>
          <w:u w:val="single"/>
          <w:lang w:val="el" w:eastAsia="el"/>
        </w:rPr>
        <w:t>Με την παρ. 1 του άρθρου 3 «Έλεγχος Εγκυρότητας» της υπό στοιχεία Α. 1235/26-10-2021 κοινής απόφασης των Υφυπουργών Οικονομικών και Εργασίας και Κοινωνικών Υποθέσεων «Αντιστοίχιση Παθήσεων του άρθρου 16 του ν. 1798/1988 με τον Ενιαίο Πίνακα Προσδιορισμού Ποσοστού Αναπηρίας» (Β’ 5083) προβλέπεται ότι οι αρμόδιες για τη χορήγηση των απαλλαγών υπηρεσίες της Α.Α.Δ.Ε. ελέγχουν την εγκυρότητα των Γνωστοποιήσεων Αποτελέσματος Πιστοποίησης Αναπηρίας του ΚΕ.Π.Α. με ανάκτηση αυτών από το Ολοκληρωμένο Πληροφοριακό Σύστημα του e-Ε.Φ.Κ.Α.</w:t>
      </w:r>
    </w:p>
    <w:p>
      <w:pPr>
        <w:spacing w:before="240" w:after="240"/>
        <w:rPr>
          <w:lang w:val="el" w:eastAsia="el"/>
        </w:rPr>
      </w:pPr>
      <w:r>
        <w:rPr>
          <w:u w:val="single"/>
          <w:lang w:val="el" w:eastAsia="el"/>
        </w:rPr>
        <w:t xml:space="preserve">2. </w:t>
      </w:r>
      <w:r>
        <w:rPr>
          <w:b/>
          <w:bCs/>
          <w:u w:val="single"/>
          <w:lang w:val="el" w:eastAsia="el"/>
        </w:rPr>
        <w:t>Για τον έλεγχο της εγκυρότητας των Γνωστοποιήσεων Αποτελέσματος Πιστοποίησης Αναπηρίας του ΚΕ.Π.Α. λειτουργεί στην ΑΑΔΕ η ψηφιακή εφαρμογή «Αναζήτηση Πιστοποιητικών Αναπηρίας», η οποία μέσω web service, ανακτά τα διαθέσιμα από την αρμόδια υπηρεσία του ΕΦΚΑ «Στοιχεία πιστοποιητικού αναπηρίας ΚΕΠΑ για χορήγηση απαλλαγής από τέλη κυκλοφορίας» δεδομένα των Γνωστοποιήσεων Αποτελέσματος Πιστοποίησης Αναπηρίας του ΚΕ.Π.Α..</w:t>
      </w:r>
    </w:p>
    <w:p>
      <w:pPr>
        <w:spacing w:before="240" w:after="240"/>
        <w:rPr>
          <w:lang w:val="el" w:eastAsia="el"/>
        </w:rPr>
      </w:pPr>
      <w:r>
        <w:rPr>
          <w:b/>
          <w:bCs/>
          <w:u w:val="single"/>
          <w:lang w:val="el" w:eastAsia="el"/>
        </w:rPr>
        <w:t>Η πρόσβαση στην εφαρμογή γίνεται μέσω του εσωτερικού ιστότοπου της ΑΑΔΕ και ειδικότερα μέσω της ψηφιακής διαδρομής Εφαρμογές-&gt;Εφαρμογές Τελωνείων-&gt;Αναζήτηση Πιστοποιητικών Αναπηρίας» από πιστοποιημένους τελωνειακούς υπαλλήλους, με κωδικούς χρήστη που επιτρέπουν την είσοδο στο Πληροφοριακό Σύστημα Τελωνείων. Στην ίδια διαδρομή υπάρχει διαθέσιμο εγχειρίδιο χρήσης της εφαρμογής. 3. Για τον έλεγχο Εγκυρότητας Γνωστοποιήσεων Αποτελέσματος Πιστοποίησης Αναπηρίας ο πιστοποιημένος τελωνειακός χρήστης εισέρχεται στην ανωτέρω ψηφιακή εφαρμογή και γίνεται αναζήτηση του αιτούντος την χορήγηση απαλλαγής με τον ΑΜΚΑ αυτού και συμπληρώνοντας τα υποχρεωτικά πεδία της εφαρμογής. Σε περίπτωση θετικής απόκρισης από το σύστημα, ο πιστοποιημένος τελωνειακός χρήστης διενεργεί διασταύρωση των στοιχείων της Γνωστοποίησης που έχει συνυποβληθεί με το τελωνειακό παραστατικό στο υποσύστημα συνυποβαλλομένων του ICISnet με τα στοιχεία που ανακτώνται μέσω της ανωτέρω ψηφιακής εφαρμογής, προκειμένου για τον τελωνισμό του αυτοκινήτου με απαλλαγή από το τέλος ταξινόμησης. 4. Ο αιτών την απαλλαγή θα πρέπει να συμπληρώνει στο υποβαλλόμενο τελωνειακό παραστατικό τον τετραψήφιο κωδικό 1800 «Αριθμός Μητρώου Κοινωνικής Ασφάλισης (ΑΜΚΑ)» στο πεδίο 44.1 (Πιστοποιητικά/Έγγραφα) για ΕΔΕ ή στο πεδίο 44.2 (Επισυναπτόμενα Έγγραφα) για ΔΕΦΚ, όπου θα συμπληρώνεται ο αριθμός ΑΜΚΑ του δικαιούχου.</w:t>
      </w:r>
    </w:p>
    <w:p>
      <w:pPr>
        <w:spacing w:before="240" w:after="240"/>
        <w:rPr>
          <w:lang w:val="el" w:eastAsia="el"/>
        </w:rPr>
      </w:pPr>
      <w:r>
        <w:rPr>
          <w:u w:val="single"/>
          <w:lang w:val="el" w:eastAsia="el"/>
        </w:rPr>
        <w:t xml:space="preserve">3. </w:t>
      </w:r>
      <w:r>
        <w:rPr>
          <w:b/>
          <w:bCs/>
          <w:u w:val="single"/>
          <w:lang w:val="el" w:eastAsia="el"/>
        </w:rPr>
        <w:t>Τέλος, με βάση σχετική ενημέρωσή μας από τον ΕΦΚΑ, επισημαίνεται ότι ο έλεγχος εγκυρότητας των Γνωστοποιήσεων Αποτελέσματος Πιστοποίησης Αναπηρίας, μέσω της εν λόγω εφαρμογής, αφορά σε αυτές που έχουν εκδοθεί από τον Σεπτέμβριο 2022 και μετέπειτα, καθώς και ορισμένες Γνωστοποιήσεις που έχουν εκδοθεί από τον Ιούλιο 2018 έως και τον Σεπτέμβριο 2022. Για Γνωστοποιήσεις που έχουν εκδοθεί πριν τον Ιούλιο 2018 δεν θα είναι εφικτός ο έλεγχος μέσω της προαναφερόμενης ψηφιακής εφαρμογής.</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I.ΑΠΟΔΕΚΤΕΣ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Δ΄</w:t>
      </w:r>
    </w:p>
    <w:p>
      <w:pPr>
        <w:spacing w:before="240" w:after="240"/>
        <w:rPr>
          <w:lang w:val="el" w:eastAsia="el"/>
        </w:rPr>
      </w:pPr>
      <w:r>
        <w:rPr>
          <w:u w:val="single"/>
          <w:lang w:val="el" w:eastAsia="el"/>
        </w:rPr>
        <w:t xml:space="preserve">2. </w:t>
      </w:r>
      <w:r>
        <w:rPr>
          <w:b/>
          <w:bCs/>
          <w:u w:val="single"/>
          <w:lang w:val="el" w:eastAsia="el"/>
        </w:rPr>
        <w:t xml:space="preserve">Δ/νση Στρατηγικής Τεχνολογιών Πληροφορικής (ΔΙ.Σ.ΤΕ.ΠΛ.) της ΓΔ.ΗΛΕ.Δ. -Τμήμα Ε΄(για ενημέρωση της Ηλεκτρονικής Βιβλιοθήκης ΑΑΔΕ και ανάρτηση στον ιστότοπο της ΑΑΔΕ </w:t>
      </w:r>
      <w:hyperlink r:id="rId9" w:history="1">
        <w:r>
          <w:rPr>
            <w:rStyle w:val="Hyperlink"/>
            <w:b/>
            <w:bCs/>
            <w:color w:val="0000EE"/>
            <w:u w:color="0000EE"/>
            <w:lang w:val="el" w:eastAsia="el"/>
          </w:rPr>
          <w:t>www.aade.gr</w:t>
        </w:r>
      </w:hyperlink>
      <w:r>
        <w:rPr>
          <w:b/>
          <w:bCs/>
          <w:u w:val="single"/>
          <w:lang w:val="el" w:eastAsia="el"/>
        </w:rPr>
        <w:t>)</w:t>
      </w:r>
    </w:p>
    <w:p>
      <w:pPr>
        <w:spacing w:before="240" w:after="240"/>
        <w:rPr>
          <w:lang w:val="el" w:eastAsia="el"/>
        </w:rPr>
      </w:pPr>
      <w:r>
        <w:rPr>
          <w:b/>
          <w:bCs/>
          <w:u w:val="single"/>
          <w:lang w:val="el" w:eastAsia="el"/>
        </w:rPr>
        <w:t>II.ΑΠΟΔΕΚΤΕΣ ΓΙΑ ΚΟΙΝΟΠΟΙΗΣΗ:</w:t>
      </w:r>
    </w:p>
    <w:p>
      <w:pPr>
        <w:spacing w:before="240" w:after="240"/>
        <w:rPr>
          <w:lang w:val="el" w:eastAsia="el"/>
        </w:rPr>
      </w:pPr>
      <w:r>
        <w:rPr>
          <w:u w:val="single"/>
          <w:lang w:val="el" w:eastAsia="el"/>
        </w:rPr>
        <w:t xml:space="preserve">1. </w:t>
      </w:r>
      <w:r>
        <w:rPr>
          <w:b/>
          <w:bCs/>
          <w:u w:val="single"/>
          <w:lang w:val="el" w:eastAsia="el"/>
        </w:rPr>
        <w:t>Ενιαίος Φορέας Κοινωνικής Ασφάλισης (ΕΦΚΑ)</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Γραφείο Διοικητή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Γραφείο Υποδιοικητή</w:t>
      </w:r>
    </w:p>
    <w:p>
      <w:pPr>
        <w:pStyle w:val="StructureList1"/>
        <w:spacing w:before="120" w:after="0"/>
        <w:rPr>
          <w:lang w:val="el" w:eastAsia="el"/>
        </w:rPr>
      </w:pPr>
      <w:r>
        <w:rPr>
          <w:u w:val="single"/>
          <w:lang w:val="el" w:eastAsia="el"/>
        </w:rPr>
        <w:t>-</w:t>
      </w:r>
      <w:r>
        <w:rPr>
          <w:u w:val="single"/>
          <w:lang w:val="en" w:eastAsia="en"/>
        </w:rPr>
        <w:tab/>
      </w:r>
      <w:r>
        <w:rPr>
          <w:b/>
          <w:bCs/>
          <w:u w:val="single"/>
          <w:lang w:val="el" w:eastAsia="el"/>
        </w:rPr>
        <w:t>Γενική Διεύθυνση Πληροφορικής και Επικοινωνιών /Διεύθυνση Ηλεκτρονικής Διακυβέρνησης / Τμήμα Σχεδιασμού και Προώθησης Διαλειτουργικότητας, Ε-mail</w:t>
      </w:r>
      <w:hyperlink r:id="rId10" w:history="1">
        <w:r>
          <w:rPr>
            <w:rStyle w:val="Hyperlink"/>
            <w:b/>
            <w:bCs/>
            <w:color w:val="0000EE"/>
            <w:u w:color="0000EE"/>
            <w:lang w:val="el" w:eastAsia="el"/>
          </w:rPr>
          <w:t>tm .interop@efka.gov.gr</w:t>
        </w:r>
      </w:hyperlink>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Γενική Δ/νση καταβολής παροχών Υγείας/Δ/νση Ιατρικής Αξιολόγησης ΕΦΚΑ/Τμήμα Ιατρικής Εργασίας και Υποστήριξης Υγειονομικών Επιτροπών Υπόψη κ. Μ. Θεοδωράκη, e- mail:</w:t>
      </w:r>
      <w:hyperlink r:id="rId11" w:history="1">
        <w:r>
          <w:rPr>
            <w:rStyle w:val="Hyperlink"/>
            <w:b/>
            <w:bCs/>
            <w:color w:val="0000EE"/>
            <w:u w:color="0000EE"/>
            <w:lang w:val="el" w:eastAsia="el"/>
          </w:rPr>
          <w:t>tm.iatr.ye@efka.gov.gr</w:t>
        </w:r>
      </w:hyperlink>
    </w:p>
    <w:p>
      <w:pPr>
        <w:spacing w:before="240" w:after="240"/>
        <w:rPr>
          <w:lang w:val="el" w:eastAsia="el"/>
        </w:rPr>
      </w:pPr>
      <w:r>
        <w:rPr>
          <w:b/>
          <w:bCs/>
          <w:u w:val="single"/>
          <w:lang w:val="el" w:eastAsia="el"/>
        </w:rPr>
        <w:t xml:space="preserve">2. </w:t>
      </w:r>
      <w:r>
        <w:rPr>
          <w:b/>
          <w:bCs/>
          <w:u w:val="single"/>
          <w:lang w:val="el" w:eastAsia="el"/>
        </w:rPr>
        <w:t>Υπηρεσία Ερευνών και Διασφάλισης Δημοσίων Εσόδων (Υ.Ε.Δ.Δ.Ε.)</w:t>
      </w:r>
    </w:p>
    <w:p>
      <w:pPr>
        <w:spacing w:before="240" w:after="240"/>
        <w:rPr>
          <w:lang w:val="el" w:eastAsia="el"/>
        </w:rPr>
      </w:pPr>
      <w:r>
        <w:rPr>
          <w:b/>
          <w:bCs/>
          <w:u w:val="single"/>
          <w:lang w:val="el" w:eastAsia="el"/>
        </w:rPr>
        <w:t xml:space="preserve">3. </w:t>
      </w:r>
      <w:r>
        <w:rPr>
          <w:b/>
          <w:bCs/>
          <w:u w:val="single"/>
          <w:lang w:val="el" w:eastAsia="el"/>
        </w:rPr>
        <w:t>Δ/νση Εσωτερικού Ελέγχου</w:t>
      </w:r>
    </w:p>
    <w:p>
      <w:pPr>
        <w:spacing w:before="240" w:after="240"/>
        <w:rPr>
          <w:lang w:val="el" w:eastAsia="el"/>
        </w:rPr>
      </w:pPr>
      <w:r>
        <w:rPr>
          <w:b/>
          <w:bCs/>
          <w:u w:val="single"/>
          <w:lang w:val="el" w:eastAsia="el"/>
        </w:rPr>
        <w:t xml:space="preserve">4. </w:t>
      </w:r>
      <w:r>
        <w:rPr>
          <w:b/>
          <w:bCs/>
          <w:u w:val="single"/>
          <w:lang w:val="el" w:eastAsia="el"/>
        </w:rPr>
        <w:t>Διεύθυνση Επικοινωνίας</w:t>
      </w:r>
    </w:p>
    <w:p>
      <w:pPr>
        <w:spacing w:before="240" w:after="240"/>
        <w:rPr>
          <w:lang w:val="el" w:eastAsia="el"/>
        </w:rPr>
      </w:pPr>
      <w:r>
        <w:rPr>
          <w:b/>
          <w:bCs/>
          <w:u w:val="single"/>
          <w:lang w:val="el" w:eastAsia="el"/>
        </w:rPr>
        <w:t xml:space="preserve">5.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6.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7.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8. </w:t>
      </w:r>
      <w:r>
        <w:rPr>
          <w:b/>
          <w:bCs/>
          <w:u w:val="single"/>
          <w:lang w:val="el" w:eastAsia="el"/>
        </w:rPr>
        <w:t>Επιτελική Υπηρεσία Τελωνείων (Ε.Υ.Τ.Ε.)</w:t>
      </w:r>
    </w:p>
    <w:p>
      <w:pPr>
        <w:spacing w:before="240" w:after="240"/>
        <w:rPr>
          <w:lang w:val="el" w:eastAsia="el"/>
        </w:rPr>
      </w:pPr>
      <w:r>
        <w:rPr>
          <w:b/>
          <w:bCs/>
          <w:u w:val="single"/>
          <w:lang w:val="el" w:eastAsia="el"/>
        </w:rPr>
        <w:t xml:space="preserve">9.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10. </w:t>
      </w:r>
      <w:r>
        <w:rPr>
          <w:b/>
          <w:bCs/>
          <w:u w:val="single"/>
          <w:lang w:val="el" w:eastAsia="el"/>
        </w:rPr>
        <w:t>Γενική Διεύθυνση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Ανάπτυξης Τελωνειακών, Ελεγκτικών και Επιχειρησιακών Εφαρμογών (Δ.Α.Τ.Ε.)</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Επιχειρησιακών Διαδικασιών/Υποδιεύθυνση Β΄ Απαιτήσεων και Ελέγχου Εφαρμογών Τελωνείων</w:t>
      </w:r>
    </w:p>
    <w:p>
      <w:pPr>
        <w:spacing w:before="240" w:after="240"/>
        <w:rPr>
          <w:lang w:val="el" w:eastAsia="el"/>
        </w:rPr>
      </w:pPr>
      <w:r>
        <w:rPr>
          <w:b/>
          <w:bCs/>
          <w:u w:val="single"/>
          <w:lang w:val="el" w:eastAsia="el"/>
        </w:rPr>
        <w:t xml:space="preserve">11. </w:t>
      </w:r>
      <w:r>
        <w:rPr>
          <w:b/>
          <w:bCs/>
          <w:u w:val="single"/>
          <w:lang w:val="el" w:eastAsia="el"/>
        </w:rPr>
        <w:t>Ανωτάτη Στρατιωτική Υγειονομική Επιτροπή (Α.Σ.Υ.Ε)</w:t>
      </w:r>
    </w:p>
    <w:p>
      <w:pPr>
        <w:spacing w:before="240" w:after="240"/>
        <w:rPr>
          <w:lang w:val="el" w:eastAsia="el"/>
        </w:rPr>
      </w:pPr>
      <w:r>
        <w:rPr>
          <w:b/>
          <w:bCs/>
          <w:u w:val="single"/>
          <w:lang w:val="el" w:eastAsia="el"/>
        </w:rPr>
        <w:t xml:space="preserve">12. </w:t>
      </w:r>
      <w:r>
        <w:rPr>
          <w:b/>
          <w:bCs/>
          <w:u w:val="single"/>
          <w:lang w:val="el" w:eastAsia="el"/>
        </w:rPr>
        <w:t>Εθνική Συνομοσπονδία Ατόμων με Αναπηρία (Ε.Σ.Α.μεΑ.), e-mail:</w:t>
      </w:r>
      <w:hyperlink r:id="rId12" w:history="1">
        <w:r>
          <w:rPr>
            <w:rStyle w:val="Hyperlink"/>
            <w:b/>
            <w:bCs/>
            <w:color w:val="0000EE"/>
            <w:u w:color="0000EE"/>
            <w:lang w:val="el" w:eastAsia="el"/>
          </w:rPr>
          <w:t>esaea@otenet.gr</w:t>
        </w:r>
      </w:hyperlink>
    </w:p>
    <w:p>
      <w:pPr>
        <w:spacing w:before="240" w:after="240"/>
        <w:rPr>
          <w:lang w:val="el" w:eastAsia="el"/>
        </w:rPr>
      </w:pPr>
      <w:r>
        <w:rPr>
          <w:b/>
          <w:bCs/>
          <w:u w:val="single"/>
          <w:lang w:val="el" w:eastAsia="el"/>
        </w:rPr>
        <w:t>III.ΕΣΩΤΕΡΙΚΗ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Γραφείο Υποστήριξης Γενικής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Γραφείο Υποστήριξης Γενικής Δ/νσης Φορολογίας</w:t>
      </w:r>
    </w:p>
    <w:p>
      <w:pPr>
        <w:spacing w:before="240" w:after="240"/>
        <w:rPr>
          <w:lang w:val="el" w:eastAsia="el"/>
        </w:rPr>
      </w:pPr>
      <w:r>
        <w:rPr>
          <w:b/>
          <w:bCs/>
          <w:u w:val="single"/>
          <w:lang w:val="el" w:eastAsia="el"/>
        </w:rPr>
        <w:t xml:space="preserve">4. </w:t>
      </w:r>
      <w:r>
        <w:rPr>
          <w:b/>
          <w:bCs/>
          <w:u w:val="single"/>
          <w:lang w:val="el" w:eastAsia="el"/>
        </w:rPr>
        <w:t>ΔΔΘΕΚΑ – Τμ. Γ’</w:t>
      </w:r>
    </w:p>
    <w:p>
      <w:pPr>
        <w:spacing w:before="240" w:after="240"/>
        <w:rPr>
          <w:lang w:val="el" w:eastAsia="el"/>
        </w:rPr>
      </w:pPr>
      <w:r>
        <w:rPr>
          <w:b/>
          <w:bCs/>
          <w:u w:val="single"/>
          <w:lang w:val="el" w:eastAsia="el"/>
        </w:rPr>
        <w:t xml:space="preserve">5. </w:t>
      </w:r>
      <w:r>
        <w:rPr>
          <w:b/>
          <w:bCs/>
          <w:u w:val="single"/>
          <w:lang w:val="el" w:eastAsia="el"/>
        </w:rPr>
        <w:t>ΔΕΕΦ – Τμ.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m.interop@efka.gov.gr" TargetMode="External" /><Relationship Id="rId11" Type="http://schemas.openxmlformats.org/officeDocument/2006/relationships/hyperlink" Target="mailto:tm.iatr.ye@efka.gov.gr" TargetMode="External" /><Relationship Id="rId12" Type="http://schemas.openxmlformats.org/officeDocument/2006/relationships/hyperlink" Target="mailto:esaea@oten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ecr_icis@aade.gr" TargetMode="External" /><Relationship Id="rId7" Type="http://schemas.openxmlformats.org/officeDocument/2006/relationships/hyperlink" Target="mailto:date1@aade.gr" TargetMode="External" /><Relationship Id="rId8" Type="http://schemas.openxmlformats.org/officeDocument/2006/relationships/hyperlink" Target="http://www.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