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ΑΔΑ: ΨΝ8546ΜΠ3Ζ-ΕΔΗ</w:t>
      </w:r>
    </w:p>
    <w:p>
      <w:pPr>
        <w:spacing w:before="240" w:after="240"/>
        <w:rPr>
          <w:lang w:val="el" w:eastAsia="el"/>
        </w:rPr>
      </w:pPr>
      <w:r>
        <w:rPr>
          <w:b/>
          <w:bCs/>
          <w:lang w:val="el" w:eastAsia="el"/>
        </w:rPr>
        <w:t>Αθήνα, 6.12.2024</w:t>
      </w:r>
    </w:p>
    <w:p>
      <w:pPr>
        <w:spacing w:before="240" w:after="240"/>
        <w:rPr>
          <w:lang w:val="el" w:eastAsia="el"/>
        </w:rPr>
      </w:pPr>
      <w:r>
        <w:rPr>
          <w:b/>
          <w:bCs/>
          <w:lang w:val="el" w:eastAsia="el"/>
        </w:rPr>
        <w:t>Ε. 2076</w:t>
      </w:r>
    </w:p>
    <w:p>
      <w:pPr>
        <w:spacing w:before="240" w:after="240"/>
        <w:rPr>
          <w:lang w:val="el" w:eastAsia="el"/>
        </w:rPr>
      </w:pPr>
      <w:r>
        <w:rPr>
          <w:b/>
          <w:bCs/>
          <w:lang w:val="el" w:eastAsia="el"/>
        </w:rPr>
        <w:t>ΠΡΟΣ Ως προς τον πίνακα διανομής</w:t>
      </w:r>
    </w:p>
    <w:p>
      <w:pPr>
        <w:spacing w:before="240" w:after="240"/>
        <w:rPr>
          <w:lang w:val="el" w:eastAsia="el"/>
        </w:rPr>
      </w:pPr>
      <w:r>
        <w:rPr>
          <w:b/>
          <w:bCs/>
          <w:lang w:val="el" w:eastAsia="el"/>
        </w:rPr>
        <w:t>Θέμα: Παροχή διευκρινίσεων για την εφαρμογή της Π.2869/2389/ΠΟΛ.137/4.5.1987/B΄236 κοινής υπουργικής απόφασης των Υπουργών Οικονομικών και Γεωργίας, που αφορά στη διαδικασία καταβολής του ΦΠΑ των επενδυτικών αγαθών.</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αναφορικά με την εφαρμογή της ΚΥΑ Π.2869/2389/ΠΟΛ.137/4.5.1987 στην παράδοση και εισαγωγή αγαθών που δεν μπορούν να ενταχθούν αυτοτελώς στον μηχανολογικό και λοιπό εξοπλισμό των υποκειμένων στον ΦΠΑ.</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παρούσα εγκύκλιο παρέχονται διευκρινίσεις για τις προϋποθέσεις που πρέπει να πληρούνται για την εφαρμογή της αναστολής καταβολής του ΦΠΑ σύμφωνα με τα οριζόμενα στην ΚΥΑ Π.2869/2389/ΠΟΛ.137/4.5.1987 στην περίπτωση παράδοσης και εισαγωγής αγαθών που δεν μπορούν να ενταχθούν αυτοτελώς στον μηχανολογικό και λοιπό εξοπλισμό των υποκειμένων στον ΦΠΑ.</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Βιοτεχνικές, βιομηχανικές, μεταλλευτικές, λατομικές, ξενοδοχειακές και αγροτικές επιχειρήσεις που αγοράζουν καινούργιο μηχανολογικό και λοιπό εξοπλισμό που χρησιμοποιείται στην παραγωγική δραστηριότητα αυτών.</w:t>
      </w:r>
    </w:p>
    <w:p>
      <w:pPr>
        <w:spacing w:before="240" w:after="240"/>
        <w:rPr>
          <w:lang w:val="el" w:eastAsia="el"/>
        </w:rPr>
      </w:pPr>
      <w:r>
        <w:rPr>
          <w:b/>
          <w:bCs/>
          <w:lang w:val="el" w:eastAsia="el"/>
        </w:rPr>
        <w:t>Με αφορμή ερωτήματα που έχουν τεθεί υπόψη της Υπηρεσίας μας, αναφορικά με το πιο πάνω θέμα, παρέχονται οι ακόλουθες διευκρινίσεις με σκοπό την ορθή και ομοιόμορφη εφαρμογή των σχετικών διατάξεων:</w:t>
      </w:r>
    </w:p>
    <w:p>
      <w:pPr>
        <w:spacing w:before="240" w:after="240"/>
        <w:rPr>
          <w:lang w:val="el" w:eastAsia="el"/>
        </w:rPr>
      </w:pPr>
      <w:r>
        <w:rPr>
          <w:lang w:val="el" w:eastAsia="el"/>
        </w:rPr>
        <w:t xml:space="preserve">1. </w:t>
      </w:r>
      <w:r>
        <w:rPr>
          <w:b/>
          <w:bCs/>
          <w:lang w:val="el" w:eastAsia="el"/>
        </w:rPr>
        <w:t>Με την ΚΥΑ Π.2869/2389/ΠΟΛ.137/4.5.1987 ορίστηκε ότι ο ΦΠΑ που αναλογεί στην εισαγωγή ή την αγορά στο εσωτερικό της χώρας καινούργιου μηχανολογικού και λοιπού εν γένει εξοπλισμού που πραγματοποιείται από βιομηχανικές, βιοτεχνικές, μεταλλευτικές, λατομικές και ξενοδοχειακές επιχειρήσεις, καθώς και από τις αγροτικές επιχειρήσεις που έχουν ενταχθεί (υποχρεωτικά ή προαιρετικά) στο κανονικό καθεστώς του Φ.Π.Α., καταβάλλεται από τον ίδιο τον επενδυτή (εισαγωγέα - αγοραστή) με την πρώτη δήλωση ΦΠΑ, που υποβάλλεται μετά την εισαγωγή ή αγορά. Η αξία των αποκτηθέντων επενδυτικών αγαθών προσαυξάνει την αξία τόσο, των φορολογητέων εκροών όσο και των εισροών της φορολογικής περιόδου κατά την οποία αποκτήθηκαν, ενώ ο αναλογών ΦΠΑ προσαυξάνει τόσο το φόρο εκροών όσο και το φόρο εισροών της ίδιας φορολογικής περιόδου.</w:t>
      </w:r>
    </w:p>
    <w:p>
      <w:pPr>
        <w:spacing w:before="240" w:after="240"/>
        <w:rPr>
          <w:lang w:val="el" w:eastAsia="el"/>
        </w:rPr>
      </w:pPr>
      <w:r>
        <w:rPr>
          <w:lang w:val="el" w:eastAsia="el"/>
        </w:rPr>
        <w:t xml:space="preserve">2. </w:t>
      </w:r>
      <w:r>
        <w:rPr>
          <w:b/>
          <w:bCs/>
          <w:lang w:val="el" w:eastAsia="el"/>
        </w:rPr>
        <w:t>Στην έννοια του παραπάνω εξοπλισμού περιλαμβάνονται κυρίως τα μηχανήματα, εξαρτήματα και λοιπά όργανα, καθώς και τα ανταλλακτικά αυτών εφόσον εισάγονται ή αγοράζονται μαζί με τα μηχανήματα ή λοιπά όργανα.</w:t>
      </w:r>
    </w:p>
    <w:p>
      <w:pPr>
        <w:spacing w:before="240" w:after="240"/>
        <w:rPr>
          <w:lang w:val="el" w:eastAsia="el"/>
        </w:rPr>
      </w:pPr>
      <w:r>
        <w:rPr>
          <w:lang w:val="el" w:eastAsia="el"/>
        </w:rPr>
        <w:t xml:space="preserve">3. </w:t>
      </w:r>
      <w:r>
        <w:rPr>
          <w:b/>
          <w:bCs/>
          <w:lang w:val="el" w:eastAsia="el"/>
        </w:rPr>
        <w:t>Από 25.11.1992 η παραπάνω απόφαση έχει εφαρμογή για κάθε μεμονωμένη συναλλαγή στην οποία αναλογεί ΦΠΑ ίσος ή μεγαλύτερος του ποσού των 2.934,70€ (σχετ. άρθρο 3 του ν. 2093/1992, Α΄181, εγκύκλιος 1131481/7043/0014</w:t>
      </w:r>
      <w:hyperlink r:id="rId4" w:history="1">
        <w:r>
          <w:rPr>
            <w:rStyle w:val="Hyperlink"/>
            <w:b/>
            <w:bCs/>
            <w:color w:val="0000EE"/>
            <w:u w:color="0000EE"/>
            <w:lang w:val="el" w:eastAsia="el"/>
          </w:rPr>
          <w:t>/ΠΟΛ.1282/</w:t>
        </w:r>
      </w:hyperlink>
      <w:hyperlink r:id="rId5" w:history="1">
        <w:r>
          <w:rPr>
            <w:rStyle w:val="Hyperlink"/>
            <w:b/>
            <w:bCs/>
            <w:color w:val="0000EE"/>
            <w:u w:color="0000EE"/>
            <w:lang w:val="el" w:eastAsia="el"/>
          </w:rPr>
          <w:t xml:space="preserve">23.12.1992 </w:t>
        </w:r>
      </w:hyperlink>
      <w:r>
        <w:rPr>
          <w:b/>
          <w:bCs/>
          <w:lang w:val="el" w:eastAsia="el"/>
        </w:rPr>
        <w:t>και η παρ. 4 του άρθρου 28 του ν.2948/2001, Α΄242). Όπως έχει διευκρινιστεί με την εγκύκλιο ΠΟΛ 1282/1992 ως μεμονωμένη συναλλαγή θεωρείται η αγορά ή η εισαγωγή επενδυτικών αγαθών, τα οποία τιμολογούνται από τον προμηθευτή με το ίδιο τιμολόγιο ή με περισσότερα τιμολόγια του ίδιου προμηθευτή, τα οποία όμως αφορούν επί μέρους τιμολογήσεις της ίδιας επένδυσης δηλαδή του ίδιου αρχικού μηχανολογικού συγκροτήματος του ίδιου προμηθευτή, έστω και αν αυτά αποσταλούν (παραδοθούν) τμηματικά στον επενδυτή από τον προμηθευτή του, αρκεί ο φόρος που αναλογεί στην ολική αξία του παραδιδόμενου εξοπλισμού να υπερβαίνει το ποσό των 2.934,70€.</w:t>
      </w:r>
    </w:p>
    <w:p>
      <w:pPr>
        <w:spacing w:before="240" w:after="240"/>
        <w:rPr>
          <w:lang w:val="el" w:eastAsia="el"/>
        </w:rPr>
      </w:pPr>
      <w:r>
        <w:rPr>
          <w:b/>
          <w:bCs/>
          <w:lang w:val="el" w:eastAsia="el"/>
        </w:rPr>
        <w:t xml:space="preserve">4. </w:t>
      </w:r>
      <w:r>
        <w:rPr>
          <w:b/>
          <w:bCs/>
          <w:lang w:val="el" w:eastAsia="el"/>
        </w:rPr>
        <w:t>Ο επενδυτής που πρόκειται να εισαγάγει ή αγοράσει στο εσωτερικό τα πιο πάνω επενδυτικά αγαθά, υποβάλει, ψηφιακά, στην αρμόδια υπηρεσία της ΑΑΔΕ, μέσω της εφαρμογής Ψηφιακής Υποδοχής και Διαχείρισης Αιτημάτων της ΑΑΔΕ «Τα αιτήματά μου», η οποία είναι διαθέσιμη μέσω της ψηφιακής πύλης «myAADE» (myaade.gov.gr), αίτηση με την οποία ζητεί βεβαίωση περί έγκρισης εισαγωγής ή αγοράς επενδυτικών αγαθών χωρίς την καταβολή του αναλογούντος ΦΠΑ. Στην αίτηση αυτή ο επενδυτής επισυνάπτει, μεταξύ άλλων,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αναλυτικό πίνακα εις διπλούν κατά τελωνείο ή προμηθεύτρια επιχείρηση στον οποίο αναγράφει τα αγαθά τα οποία πρόκειται να εισαγάγει, να αγοράσει στο εσωτερικό, την ποσότητα και την αξία αυτών, το αρμόδιο τελωνείο εισαγωγής ή το ονοματεπώνυμο ή επωνυμία και την διεύθυνση της προμηθεύτριας επιχείρησης όταν πρόκειται για αγορά στο εσωτερικό, καθώς και τον Α.Φ.Μ. και την αρμόδια Υπηρεσία της ΑΑΔΕ που υπάγεται η επιχείρηση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 δήλωση του ν. 1599/1986 (Α΄75) στην οποία δηλώνεται υπεύθυνα ότι ο αιτών είναι επενδυτής που σκοπεύει να ιδρύσει, επεκτείνει ή να εκσυγχρονίσει βιομηχανική, βιοτεχνική, μεταλλευτική, λατομική, ξενοδοχειακή ή αγροτική επιχείρηση, ο τόπος εγκατάστασης της επιχείρησης, ότι δεν πρόκειται για απαλλασσόμενη από το ΦΠΑ επιχείρηση και ότι τα αγαθά που περιγράφονται στον ανωτέρω πίνακα είναι απαραίτητα για την πραγματοποίηση της επένδυσης.</w:t>
      </w:r>
    </w:p>
    <w:p>
      <w:pPr>
        <w:spacing w:before="240" w:after="240"/>
        <w:rPr>
          <w:lang w:val="el" w:eastAsia="el"/>
        </w:rPr>
      </w:pPr>
      <w:r>
        <w:rPr>
          <w:b/>
          <w:bCs/>
          <w:lang w:val="el" w:eastAsia="el"/>
        </w:rPr>
        <w:t xml:space="preserve">5. </w:t>
      </w:r>
      <w:r>
        <w:rPr>
          <w:b/>
          <w:bCs/>
          <w:lang w:val="el" w:eastAsia="el"/>
        </w:rPr>
        <w:t>Περαιτέρω με την εγκύκλιο Π. 5749/3679/ΠΟΛ 246/1987 διευκρινίστηκε ότι με εξαίρεση τις περιπτώσεις κατά τις οποίες ο επενδυτής με την αίτησή του ζητάει να του εγκριθεί η αγορά, χωρίς καταβολή ΦΠΑ, συνολικά μιας σειράς μηχανημάτων, εξαρτημάτων, ανταλλακτικών και λοιπών υλικών που είναι απαραίτητα προκειμένου με την συναρμολόγησή τους και την εγκατάστασή τους να αποτελέσουν το μηχανολογικό και λοιπό εξοπλισμό που υπάγεται στις διατάξεις αυτής της απόφασης, σύμφωνα με όσα αναφέρονται παραπάνω, στις λοιπές περιπτώσεις, όταν δηλαδή ζητείται η έγκριση της αρμόδιας Υπηρεσίας της ΑΑΔΕ για την αγορά χωρίς καταβολή ΦΠΑ μεμονωμένου ή μεμονωμένων αγαθών, τα οποία δεν αποτελούν ενιαίο σύνολο, τότε προκείμενου να υπαχθούν στις διατάξεις αυτής της απόφασης, θα πρέπει να εξετάζεται κατά πόσο τα συγκεκριμένα αγαθά μπορούν να έχουν αυτοτελή λειτουργία ή εντάσσονται αυθύπαρκτα στο λοιπό εξοπλισμό. Για παράδειγμα, δεν μπορεί να υπαχθεί στις διατάξεις της απόφασης η μεμονωμένη αγορά ορισμένων μέτρων καλωδίου ή μερικών μέτρων σωλήνων, ενώ μπορεί να υπαχθούν, όταν το καλώδιο ζητηθεί μαζί µε λοιπά μηχανήματα και τους ηλεκτροκινητήρες τους ή όταν οι σωλήνες ζητηθούν μαζί με αντλητικό ή αρδευτικό συγκρότημα.</w:t>
      </w:r>
    </w:p>
    <w:p>
      <w:pPr>
        <w:spacing w:before="240" w:after="240"/>
        <w:rPr>
          <w:lang w:val="el" w:eastAsia="el"/>
        </w:rPr>
      </w:pPr>
      <w:r>
        <w:rPr>
          <w:b/>
          <w:bCs/>
          <w:lang w:val="el" w:eastAsia="el"/>
        </w:rPr>
        <w:t xml:space="preserve">6. </w:t>
      </w:r>
      <w:r>
        <w:rPr>
          <w:b/>
          <w:bCs/>
          <w:lang w:val="el" w:eastAsia="el"/>
        </w:rPr>
        <w:t>Σύμφωνα με τα ανωτέρω, με την παρούσα αποσαφηνίζονται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κάθε αίτηση που υποβάλλεται στην αρμόδια Υπηρεσία της ΑΑΔΕ, για την εφαρμογή της ΚΥΑ Π.2869/2389/ΠΟΛ.137/4.5.1987, μπορεί να συνοδεύεται από αναλυτικό πίνακα για έναν ή περισσότερους προμηθευτές ή τελωνεία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το ίδιο επενδυτικό σχέδιο μπορεί να αντιστοιχούν μία ή περισσότερες αιτήσεις για την εφαρμογή της ΚΥΑ Π.2869/2389/ΠΟΛ.137/4.5.1987,</w:t>
      </w:r>
    </w:p>
    <w:p>
      <w:pPr>
        <w:pStyle w:val="StructureList1"/>
        <w:spacing w:before="120" w:after="0"/>
        <w:rPr>
          <w:lang w:val="el" w:eastAsia="el"/>
        </w:rPr>
      </w:pPr>
      <w:r>
        <w:rPr>
          <w:b/>
          <w:bCs/>
          <w:lang w:val="el" w:eastAsia="el"/>
        </w:rPr>
        <w:t>γ)</w:t>
      </w:r>
      <w:r>
        <w:rPr>
          <w:b/>
          <w:bCs/>
          <w:lang w:val="en" w:eastAsia="en"/>
        </w:rPr>
        <w:tab/>
      </w:r>
      <w:r>
        <w:rPr>
          <w:b/>
          <w:bCs/>
          <w:lang w:val="el" w:eastAsia="el"/>
        </w:rPr>
        <w:t>στην περίπτωση παράδοσης ή εισαγωγής από συγκεκριμένο προμηθευτή αποκλειστικά αγαθών τα οποία δεν έχουν αυτοτελή λειτουργία (δηλαδή δεν αφορούν μηχανολογικό εξοπλισμό) ή δεν εντάσσονται αυθύπαρκτα στο λοιπό εξοπλισμό (δηλαδή δεν αφορούν λοιπό εξοπλισμό μη μηχανολογικό που εμπίπτει στο πεδίο εφαρμογής της ΚΥΑ Π.2869/2389/ΠΟΛ.137/4.5.1987 σύμφωνα με τις διευκρινίσεις που έχουν δοθεί έως σήμερα), είναι δυνατό να εφαρμοστεί η ΚΥΑ Π.2869/2389/ΠΟΛ.137/4.5.1987 μόνο εάν αυτά αποτελούν μέρος της συνολικής επένδυσης (με την ίδια ή άλλη αίτηση) και με την συναρμολόγησή ή/και την εγκατάστασή τους θα αποτελέσουν το μηχανολογικό και λοιπό εξοπλισμό που υπάγεται στις διατάξεις αυτής της απόφασης το οποίο είναι θέμα πραγματικό και θα κρίνεται µε βάση τα στοιχεία της αίτησης.</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περίπτωση το όριο των 2.934,70€ εξετάζεται ανά μεμονωμένη συναλλαγή, ήτοι ανά προμηθευτή, σύμφωνα με τα οριζόμενα στην εγκύκλιο 1131481/7043/0014</w:t>
      </w:r>
      <w:hyperlink r:id="rId6" w:history="1">
        <w:r>
          <w:rPr>
            <w:rStyle w:val="Hyperlink"/>
            <w:b/>
            <w:bCs/>
            <w:color w:val="0000EE"/>
            <w:u w:color="0000EE"/>
            <w:lang w:val="el" w:eastAsia="el"/>
          </w:rPr>
          <w:t>/ΠΟΛ.1282/</w:t>
        </w:r>
      </w:hyperlink>
      <w:hyperlink r:id="rId7" w:history="1">
        <w:r>
          <w:rPr>
            <w:rStyle w:val="Hyperlink"/>
            <w:b/>
            <w:bCs/>
            <w:color w:val="0000EE"/>
            <w:u w:color="0000EE"/>
            <w:lang w:val="el" w:eastAsia="el"/>
          </w:rPr>
          <w:t>23.12.1992</w:t>
        </w:r>
      </w:hyperlink>
      <w:r>
        <w:rPr>
          <w:b/>
          <w:bCs/>
          <w:lang w:val="el" w:eastAsia="el"/>
        </w:rPr>
        <w:t>.</w:t>
      </w:r>
    </w:p>
    <w:p>
      <w:pPr>
        <w:spacing w:before="240" w:after="240"/>
        <w:rPr>
          <w:lang w:val="el" w:eastAsia="el"/>
        </w:rPr>
      </w:pPr>
      <w:r>
        <w:rPr>
          <w:b/>
          <w:bCs/>
          <w:lang w:val="el" w:eastAsia="el"/>
        </w:rPr>
        <w:t>Για παράδειγμα</w:t>
      </w:r>
    </w:p>
    <w:p>
      <w:pPr>
        <w:spacing w:before="240" w:after="240"/>
        <w:rPr>
          <w:lang w:val="el" w:eastAsia="el"/>
        </w:rPr>
      </w:pPr>
      <w:r>
        <w:rPr>
          <w:b/>
          <w:bCs/>
          <w:lang w:val="el" w:eastAsia="el"/>
        </w:rPr>
        <w:t>Μία οινοποιητική επιχείρηση αποφασίζει να βελτιώσει τον εξοπλισμό της και πραγματοποιεί επένδυση που αποτελείται από μηχανολογικό εξοπλισμό για την αποβοστρύχωση, πιεστήρια για την εξαγωγή του μούστου, αντλίες για την μεταφορά του μούστου και του οίνου, σωλήνες για τη μεταφορά του μούστου και του οίνου μεταξύ των δεξαμενών, καθώς και βαρέλια παλαίωσης οίνου.</w:t>
      </w:r>
    </w:p>
    <w:p>
      <w:pPr>
        <w:spacing w:before="240" w:after="240"/>
        <w:rPr>
          <w:lang w:val="el" w:eastAsia="el"/>
        </w:rPr>
      </w:pPr>
      <w:r>
        <w:rPr>
          <w:b/>
          <w:bCs/>
          <w:lang w:val="el" w:eastAsia="el"/>
        </w:rPr>
        <w:t>Ο μηχανολογικός εξοπλισμός για την αποβοστρύχωση, το πιεστήριο και οι αντλίες εντάσσονται στο μηχανολογικό εξοπλισμό. Τα βαρέλια εντάσσονται στο λοιπό εξοπλισμό. Οι σωλήνες για τη μεταφορά του μούστου και του οίνου μεταξύ των δεξαμενών αποτελούν αγαθά που δεν εντάσσονται στο μηχανολογικό ή λοιπό εξοπλισμό ωστόσο αποτελούν μέρος της συνολικής επένδυσης.</w:t>
      </w:r>
    </w:p>
    <w:p>
      <w:pPr>
        <w:spacing w:before="240" w:after="240"/>
        <w:rPr>
          <w:lang w:val="el" w:eastAsia="el"/>
        </w:rPr>
      </w:pPr>
      <w:r>
        <w:rPr>
          <w:b/>
          <w:bCs/>
          <w:lang w:val="el" w:eastAsia="el"/>
        </w:rPr>
        <w:t>Στο ως άνω παράδειγμα για την συνολική επένδυση μπορούν να υποβληθούν μία ή και παραπάνω αιτήσεις στο Τμήμα Συμμόρφωσης και Σχέσεων με τους Φορολογουμένους της ΔΟΥ/ Τμήμα ΦΠΑ του ΚΕΦΟΔΕ [η αίτηση υποβάλλεται ψηφιακά μέσω της εφαρμογής Ψηφιακής Υποδοχής και Διαχείρισης Αιτημάτων της ΑΑΔΕ «Τα αιτήματά μου», η οποία είναι διαθέσιμη μέσω της ψηφιακής πύλης «myAADE» (myaade.gov.gr).»]. Ειδικότερα μπορεί να υποβληθεί μία για τις αντλίες, το πιεστήριο, το μηχανισμό αποβοστρύχωσης και τα βαρέλια και μία ξεχωριστή αίτηση για τους σωλήνες. Η πρώτη αίτηση δύναται να περιλαμβάνει αναλυτικούς πίνακες από δύο προμηθευτές, ένα προμηθευτή για τον ως άνω μηχανολογικό εξοπλισμό και διαφορετικό προμηθευτή για τα βαρέλια. Η δεύτερη αίτηση που αφορά τον προμηθευτή των σωλήνων εμπίπτει στο πεδίο εφαρμογής της απόφασης ΚΥΑ Π.2869/2389/ΠΟΛ.137/4.5.1987, καθώς η εγκατάσταση αυτών είναι απαραίτητο στοιχείο για να λειτουργήσει η συνολική επένδυση. Στο τιμολόγιο κάθε προμηθευτή ξεχωριστά πρέπει να αναλογεί ΦΠΑ μεγαλύτερο των 2.934,70€.</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Αποδέκτες Πίνακα Γ πλην των αριθ.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και την Ηλεκτρονική Βιβλιοθήκη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Αποδέκτες Πίνακα Α΄ μόνο οι αριθ. 1 και 4</w:t>
      </w:r>
    </w:p>
    <w:p>
      <w:pPr>
        <w:spacing w:before="240" w:after="240"/>
        <w:rPr>
          <w:lang w:val="el" w:eastAsia="el"/>
        </w:rPr>
      </w:pPr>
      <w:r>
        <w:rPr>
          <w:b/>
          <w:bCs/>
          <w:lang w:val="el" w:eastAsia="el"/>
        </w:rPr>
        <w:t xml:space="preserve">2. </w:t>
      </w:r>
      <w:r>
        <w:rPr>
          <w:b/>
          <w:bCs/>
          <w:lang w:val="el" w:eastAsia="el"/>
        </w:rPr>
        <w:t>Αποδέκτες Πίνακα Β΄</w:t>
      </w:r>
    </w:p>
    <w:p>
      <w:pPr>
        <w:spacing w:before="240" w:after="240"/>
        <w:rPr>
          <w:lang w:val="el" w:eastAsia="el"/>
        </w:rPr>
      </w:pPr>
      <w:r>
        <w:rPr>
          <w:b/>
          <w:bCs/>
          <w:lang w:val="el" w:eastAsia="el"/>
        </w:rPr>
        <w:t xml:space="preserve">3. </w:t>
      </w:r>
      <w:r>
        <w:rPr>
          <w:b/>
          <w:bCs/>
          <w:lang w:val="el" w:eastAsia="el"/>
        </w:rPr>
        <w:t>Αποδέκτες Πίνακα Γ΄ μόνο οι αριθ. 2 και 3΄</w:t>
      </w:r>
    </w:p>
    <w:p>
      <w:pPr>
        <w:spacing w:before="240" w:after="240"/>
        <w:rPr>
          <w:lang w:val="el" w:eastAsia="el"/>
        </w:rPr>
      </w:pPr>
      <w:r>
        <w:rPr>
          <w:b/>
          <w:bCs/>
          <w:lang w:val="el" w:eastAsia="el"/>
        </w:rPr>
        <w:t xml:space="preserve">4. </w:t>
      </w:r>
      <w:r>
        <w:rPr>
          <w:b/>
          <w:bCs/>
          <w:lang w:val="el" w:eastAsia="el"/>
        </w:rPr>
        <w:t>Αποδέκτες Πίνακα Ζ΄</w:t>
      </w:r>
    </w:p>
    <w:p>
      <w:pPr>
        <w:spacing w:before="240" w:after="240"/>
        <w:rPr>
          <w:lang w:val="el" w:eastAsia="el"/>
        </w:rPr>
      </w:pPr>
      <w:r>
        <w:rPr>
          <w:b/>
          <w:bCs/>
          <w:lang w:val="el" w:eastAsia="el"/>
        </w:rPr>
        <w:t xml:space="preserve">5. </w:t>
      </w:r>
      <w:r>
        <w:rPr>
          <w:b/>
          <w:bCs/>
          <w:lang w:val="el" w:eastAsia="el"/>
        </w:rPr>
        <w:t>Αποδέκτες Πίνακα Η</w:t>
      </w:r>
    </w:p>
    <w:p>
      <w:pPr>
        <w:spacing w:before="240" w:after="240"/>
        <w:rPr>
          <w:lang w:val="el" w:eastAsia="el"/>
        </w:rPr>
      </w:pPr>
      <w:r>
        <w:rPr>
          <w:b/>
          <w:bCs/>
          <w:lang w:val="el" w:eastAsia="el"/>
        </w:rPr>
        <w:t xml:space="preserve">6. </w:t>
      </w:r>
      <w:r>
        <w:rPr>
          <w:b/>
          <w:bCs/>
          <w:lang w:val="el" w:eastAsia="el"/>
        </w:rPr>
        <w:t>Αποδέκτες Πίνακα Θ΄ μόνο οι αριθ. 13, 19, 20</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ΙΕ΄</w:t>
      </w:r>
    </w:p>
    <w:p>
      <w:pPr>
        <w:spacing w:before="240" w:after="240"/>
        <w:rPr>
          <w:lang w:val="el" w:eastAsia="el"/>
        </w:rPr>
      </w:pPr>
      <w:r>
        <w:rPr>
          <w:b/>
          <w:bCs/>
          <w:lang w:val="el" w:eastAsia="el"/>
        </w:rPr>
        <w:t xml:space="preserve">9. </w:t>
      </w:r>
      <w:r>
        <w:rPr>
          <w:b/>
          <w:bCs/>
          <w:lang w:val="el" w:eastAsia="el"/>
        </w:rPr>
        <w:t>Αποδέκτες Πίνακα ΙΣΤ΄</w:t>
      </w:r>
    </w:p>
    <w:p>
      <w:pPr>
        <w:spacing w:before="240" w:after="240"/>
        <w:rPr>
          <w:lang w:val="el" w:eastAsia="el"/>
        </w:rPr>
      </w:pPr>
      <w:r>
        <w:rPr>
          <w:b/>
          <w:bCs/>
          <w:lang w:val="el" w:eastAsia="el"/>
        </w:rPr>
        <w:t xml:space="preserve">10. </w:t>
      </w:r>
      <w:r>
        <w:rPr>
          <w:b/>
          <w:bCs/>
          <w:lang w:val="el" w:eastAsia="el"/>
        </w:rPr>
        <w:t>Αποδέκτες Πίνακα ΙΗ΄</w:t>
      </w:r>
    </w:p>
    <w:p>
      <w:pPr>
        <w:spacing w:before="240" w:after="240"/>
        <w:rPr>
          <w:lang w:val="el" w:eastAsia="el"/>
        </w:rPr>
      </w:pPr>
      <w:r>
        <w:rPr>
          <w:b/>
          <w:bCs/>
          <w:lang w:val="el" w:eastAsia="el"/>
        </w:rPr>
        <w:t xml:space="preserve">11. </w:t>
      </w:r>
      <w:r>
        <w:rPr>
          <w:b/>
          <w:bCs/>
          <w:lang w:val="el" w:eastAsia="el"/>
        </w:rPr>
        <w:t>Γραφείο Υπουργού Εθνικής Οικονομίας και Οικονομικών</w:t>
      </w:r>
    </w:p>
    <w:p>
      <w:pPr>
        <w:spacing w:before="240" w:after="240"/>
        <w:rPr>
          <w:lang w:val="el" w:eastAsia="el"/>
        </w:rPr>
      </w:pPr>
      <w:r>
        <w:rPr>
          <w:b/>
          <w:bCs/>
          <w:lang w:val="el" w:eastAsia="el"/>
        </w:rPr>
        <w:t xml:space="preserve">12. </w:t>
      </w:r>
      <w:r>
        <w:rPr>
          <w:b/>
          <w:bCs/>
          <w:lang w:val="el" w:eastAsia="el"/>
        </w:rPr>
        <w:t>Γραφείο Υφυπουργού Εθνικής Οικονομίας και Οικονομικών</w:t>
      </w:r>
    </w:p>
    <w:p>
      <w:pPr>
        <w:spacing w:before="240" w:after="240"/>
        <w:rPr>
          <w:lang w:val="el" w:eastAsia="el"/>
        </w:rPr>
      </w:pPr>
      <w:r>
        <w:rPr>
          <w:b/>
          <w:bCs/>
          <w:lang w:val="el" w:eastAsia="el"/>
        </w:rPr>
        <w:t xml:space="preserve">13.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 xml:space="preserve">14.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Διεύθυνση Νομικής Υποστήριξης της Α.Α.Δ.Ε</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articles/article/6015/pol-1282-1992" TargetMode="External" /><Relationship Id="rId5" Type="http://schemas.openxmlformats.org/officeDocument/2006/relationships/hyperlink" Target="https://www.forin.gr/articles/article/6015/pol-1282-1992" TargetMode="External" /><Relationship Id="rId6" Type="http://schemas.openxmlformats.org/officeDocument/2006/relationships/hyperlink" Target="https://www.forin.gr/articles/article/6015/pol-1282-1992" TargetMode="External" /><Relationship Id="rId7" Type="http://schemas.openxmlformats.org/officeDocument/2006/relationships/hyperlink" Target="https://www.forin.gr/articles/article/6015/pol-1282-1992"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