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ΣΤΡΑΤΗΓΙΚΗΣ ΤΕΛΩΝΕΙΑΚΩΝ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ΕΛΕΓΧΩΝ ΚΑΙ ΠΑΡΑΒΑΣΕΩΝ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Πειραιώς 180,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Ταύρος,17778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Πληροφ. : Σ.Λαμπουσάκη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213-1410565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email </w:t>
      </w:r>
      <w:r>
        <w:rPr>
          <w:b/>
          <w:bCs/>
          <w:sz w:val="30"/>
          <w:szCs w:val="30"/>
          <w:vertAlign w:val="subscript"/>
          <w:lang w:val="el" w:eastAsia="el"/>
        </w:rPr>
        <w:t>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dstepoffences@aade.gr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 :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αρ. 97 ν. 5162/2024 «Μέτρα για την ενίσχυση του εισοδήματος, φορολογικά κίνητρα για την καινοτομία και τους μετασχηματισμούς των επιχειρήσεων και άλλες διατάξεις» (Α΄198) και παροχή οδηγιών για την εφαρμογή του από τις Τελωνειακές Αρχές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του άρθρου 97 του ν. 5162/2024, με το οποίο τροποποιείται η παρ. 9 του άρθρου 147 του Εθνικού Τελωνειακού Κώδικα (ν. 2960/2001, Α΄265) και παροχή οδηγιών για την εφαρμογή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παρούσα εγκύκλιο κοινοποιείται προς ενημέρωση το άρθρο 97 του ν. 5162/2024 και παρέχονται οδηγίες προς τις αρμόδιες τελωνειακές αρχές για την τροποποίηση που επήλθε με αυτό στην παρ. 9 του άρθρου 147 του Εθνικού Τελωνειακού Κώδικα. Ειδικότερα οι οδηγίες αφορούν στη διαχείριση υποθέσεων στις οποίες έχει πραγματοποιηθεί ή θα πραγματοποιηθεί διόρθωση από τα μέλη μητρώου Διακινητών Πετρελαίου Θέρμανσης (ΔΙ.ΠΕ.ΘΕ.) των ανακριβών καταχωρήσεων στο Πληροφοριακό Σύστημα Πετρελαίου Θέρμανσης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 πεδίο εφαρμογής της παρούσας εμπίπτουν: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Οι αρμόδιες τελωνειακές αρχές για την επιβολή των προστίμων της παρ. 9 του άρθρου 147 του Εθνικού Τελωνειακού Κώδικα.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Τα μέλη του μητρώου Διακινητών Πετρελαίου Θέρμανσης.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παρούσα κοινοποιείται για ενημέρωση και εφαρμογή το άρθρο 97 του νόμου 5162/2024 (Α΄198) με θέμα «Μέτρα για την ενίσχυση του εισοδήματος, φορολογικά κίνητρα για την καινοτομία και τους μετασχηματισμούς επιχειρήσεων και άλλες διατάξεις», με το οποίο τροποποιείται η παρ. 9 του άρθρου 147 του Εθνικού Τελωνειακού Κώδικα και έχει έναρξη ισχύος την 5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.12.2024.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ανωτέρω τροποποίηση προστέθηκε νέο δεύτερο εδάφιο στην παρ. 9 του άρθρου 147 του ν. 2960/2001, στο οποίο ορίζεται ότι τα πρόστιμα του πρώτου εδαφίου του ίδιου άρθρου δεν επιβάλλονται εφόσον: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μη καταχωρημένη συναλλαγή καταχωρίσθηκε ή η εκπρόθεσμη καταχώρηση έγινε εντός δεκαπέντε (15) ημερών από το πέρας της προθεσμίας της περ. α) της παρ. 2 του άρθρου 73, ήτοι η προθεσμία των δεκατεσσάρων (14) ημερών της περ. α) της παρ. 2 του άρθρου 73 παρατείνεται για επιπλέον δεκαπέντε (15) ημέρες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ανακριβής καταχώρηση διορθώθηκε εντός δεκαπέντε (15) ημερών από την επίδοση στο μέλος ΔΙ.ΠΕ.ΘΕ. της κλήσης σε απολογία της παρ. 3 του άρθρου 152 του ίδιου νόμου.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Ειδικότερα, για την εφαρμογή της περ. β) αναφέρονται τα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Εάν έχει επιδοθεί στον ενδιαφερόμενο κλήση σε απολογία χωρίς έκδοση καταλογιστικής πράξης, επιδίδεται εκ νέου κλήση σε απολογία με την οποία θα ενημερώνεται ο παραβάτης για τη δυνατότητα διόρθωσης της ανακρίβειας. Εφόσον διορθωθεί η ανακρίβεια, εκδίδεται απαλλακτική πράξη.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Εάν δεν έχει επιδοθεί κλήση σε απολογία, επιδίδεται κλήση σε απολογία με την οποία θα ενημερώνεται ο παραβάτης για τη δυνατότητα διόρθωσης της ανακρίβειας.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Eφόσον δεν έχει καταχωρηθεί πρωτόκολλο τελωνειακής παράβασης και διαπιστωθεί ότι η ανακρίβεια είχε διορθωθεί μετά το πέρας της προθεσμίας των δεκατεσσάρων (14) ημερών της περ. α) της παρ. 2 του άρθρου 73 του Εθνικού Τελωνειακού Κώδικα, δεν καταχωρείται το σχετικό πρωτόκολλο τελωνειακής παράβασης.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Eάν έχει καταχωρηθεί πρωτόκολλο τελωνειακής παράβασης και διαπιστωθεί ότι η ανακρίβεια έχει διορθωθεί μετά το πέρας της προθεσμίας των δεκατεσσάρων (14) ημερών της περ. α) της παρ. 2 του άρθρου 73 του Εθνικού Τελωνειακού Κώδικα, εκδίδεται απαλλακτική πράξη. Τυχόν προηγηθείσα επίδοση κλήσης σε απολογία δεν επηρεάζει τη διαχείριση της εν λόγω περίπτωσης.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Πίνακας διανομής: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Αποδέκτες προς ενέργεια: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Όλες οι τελωνειακές αρχές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στον εσωτερικό ιστότοπο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προς κοινοποίηση: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Τελωνειακές Περιφέρειες Αττικής, Θεσσαλονίκης και Αχαΐας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Κεντρική Υπηρεσία Νομικού Συμβουλίου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Γραφείου Υφυπουργού Εθνικής Οικονομίας και Οικονομικών κ.Δήμα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 xml:space="preserve">Ομοσπονδία Βενζινοπωλών Ελλάδος (με την παράκληση να ενημερώσει τα μέλη του email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info@obe.gr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Πανελλήνια Ομοσπονδία Πρατηριούχων Εμπόρων Καυσίμων (ΠΟΠΕΚ) 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Αυτοτελές Τμήμα Υποστήριξης ΓΔΤ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Ε.Φ.Κ. &amp; Φ.Π.Α.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Νομικής Υποστήριξης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stepoffences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info@obe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