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2960/2001 (Α’ 265) που χρησιμοποιείται αποκλειστικά στη γεωργία για το έτος 2025, χρόνος επιστροφής,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(Β΄6741).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παρέχονται διευκρινίσεις αναφορικά με την Α. 1173/2024 ΚΥΑ με την οποία καθορίζονται:</w:t>
      </w:r>
    </w:p>
    <w:p>
      <w:pPr>
        <w:pStyle w:val="StructureList1"/>
        <w:spacing w:before="120" w:after="0"/>
        <w:rPr>
          <w:lang w:val="el" w:eastAsia="el"/>
        </w:rPr>
      </w:pPr>
      <w:r>
        <w:rPr>
          <w:lang w:val="el" w:eastAsia="el"/>
        </w:rPr>
        <w:t>-</w:t>
      </w:r>
      <w:r>
        <w:rPr>
          <w:lang w:val="en" w:eastAsia="en"/>
        </w:rPr>
        <w:tab/>
      </w:r>
      <w:r>
        <w:rPr>
          <w:b/>
          <w:bCs/>
          <w:lang w:val="el" w:eastAsia="el"/>
        </w:rPr>
        <w:t>οι όροι, οι προϋποθέσεις και η διαδικασία χορήγησης της επιστροφής του ειδικού φόρου κατανάλωσης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2025,</w:t>
      </w:r>
    </w:p>
    <w:p>
      <w:pPr>
        <w:pStyle w:val="StructureList1"/>
        <w:spacing w:before="120" w:after="0"/>
        <w:rPr>
          <w:lang w:val="el" w:eastAsia="el"/>
        </w:rPr>
      </w:pPr>
      <w:r>
        <w:rPr>
          <w:lang w:val="el" w:eastAsia="el"/>
        </w:rPr>
        <w:t>-</w:t>
      </w:r>
      <w:r>
        <w:rPr>
          <w:lang w:val="en" w:eastAsia="en"/>
        </w:rPr>
        <w:tab/>
      </w:r>
      <w:r>
        <w:rPr>
          <w:b/>
          <w:bCs/>
          <w:lang w:val="el" w:eastAsia="el"/>
        </w:rPr>
        <w:t>ο χρόνος επιστροφής,</w:t>
      </w:r>
    </w:p>
    <w:p>
      <w:pPr>
        <w:pStyle w:val="StructureList1"/>
        <w:spacing w:before="120" w:after="0"/>
        <w:rPr>
          <w:lang w:val="el" w:eastAsia="el"/>
        </w:rPr>
      </w:pPr>
      <w:r>
        <w:rPr>
          <w:lang w:val="el" w:eastAsia="el"/>
        </w:rPr>
        <w:t>-</w:t>
      </w:r>
      <w:r>
        <w:rPr>
          <w:lang w:val="en" w:eastAsia="en"/>
        </w:rPr>
        <w:tab/>
      </w:r>
      <w:r>
        <w:rPr>
          <w:b/>
          <w:bCs/>
          <w:lang w:val="el" w:eastAsia="el"/>
        </w:rPr>
        <w:t>τα δικαιούχα επιστροφής πρόσωπα,</w:t>
      </w:r>
    </w:p>
    <w:p>
      <w:pPr>
        <w:pStyle w:val="StructureList1"/>
        <w:spacing w:before="120" w:after="0"/>
        <w:rPr>
          <w:lang w:val="el" w:eastAsia="el"/>
        </w:rPr>
      </w:pPr>
      <w:r>
        <w:rPr>
          <w:lang w:val="el" w:eastAsia="el"/>
        </w:rPr>
        <w:t>-</w:t>
      </w:r>
      <w:r>
        <w:rPr>
          <w:lang w:val="en" w:eastAsia="en"/>
        </w:rPr>
        <w:tab/>
      </w:r>
      <w:r>
        <w:rPr>
          <w:b/>
          <w:bCs/>
          <w:lang w:val="el" w:eastAsia="el"/>
        </w:rPr>
        <w:t>τα κριτήρια για τον προσδιορισμό των ποσοτήτων πετρελαίου κινητήρων για τις οποίες υπολογίζεται η επιστροφή,</w:t>
      </w:r>
    </w:p>
    <w:p>
      <w:pPr>
        <w:pStyle w:val="StructureList1"/>
        <w:spacing w:before="120" w:after="0"/>
        <w:rPr>
          <w:lang w:val="el" w:eastAsia="el"/>
        </w:rPr>
      </w:pPr>
      <w:r>
        <w:rPr>
          <w:lang w:val="el" w:eastAsia="el"/>
        </w:rPr>
        <w:t>-</w:t>
      </w:r>
      <w:r>
        <w:rPr>
          <w:lang w:val="en" w:eastAsia="en"/>
        </w:rPr>
        <w:tab/>
      </w:r>
      <w:r>
        <w:rPr>
          <w:b/>
          <w:bCs/>
          <w:lang w:val="el" w:eastAsia="el"/>
        </w:rPr>
        <w:t>η αρμόδια για την επιστροφή του ειδικού φόρου κατανάλωσης αρχή και</w:t>
      </w:r>
    </w:p>
    <w:p>
      <w:pPr>
        <w:pStyle w:val="StructureList1"/>
        <w:spacing w:before="120" w:after="0"/>
        <w:rPr>
          <w:lang w:val="el" w:eastAsia="el"/>
        </w:rPr>
      </w:pPr>
      <w:r>
        <w:rPr>
          <w:lang w:val="el" w:eastAsia="el"/>
        </w:rPr>
        <w:t>-</w:t>
      </w:r>
      <w:r>
        <w:rPr>
          <w:lang w:val="en" w:eastAsia="en"/>
        </w:rPr>
        <w:tab/>
      </w:r>
      <w:r>
        <w:rPr>
          <w:b/>
          <w:bCs/>
          <w:lang w:val="el" w:eastAsia="el"/>
        </w:rPr>
        <w:t>ο τρόπος ελέγχου της νόμιμης χρήσης αυτού.</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παρούσας εμπίπτουν:</w:t>
      </w:r>
    </w:p>
    <w:p>
      <w:pPr>
        <w:spacing w:before="240" w:after="240"/>
        <w:rPr>
          <w:lang w:val="el" w:eastAsia="el"/>
        </w:rPr>
      </w:pPr>
      <w:r>
        <w:rPr>
          <w:b/>
          <w:bCs/>
          <w:lang w:val="el" w:eastAsia="el"/>
        </w:rPr>
        <w:t>α. τα δικαιούχα επιστροφής ΕΦΚ πρόσωπα (αγρότες), όπως αυτά ορίζονται στο άρθρο 2 της ως άνω ΚΥΑ, για το πετρέλαιο εσωτερικής καύσης (DIESEL) κινητήρων το οποίο προμηθεύονται από 01/01/2025 έως και 31/12/2025, αποκλειστικά για γεωργική χρήση,</w:t>
      </w:r>
    </w:p>
    <w:p>
      <w:pPr>
        <w:spacing w:before="240" w:after="240"/>
        <w:rPr>
          <w:lang w:val="el" w:eastAsia="el"/>
        </w:rPr>
      </w:pPr>
      <w:r>
        <w:rPr>
          <w:b/>
          <w:bCs/>
          <w:lang w:val="el" w:eastAsia="el"/>
        </w:rPr>
        <w:t>β. οι κάτοχοι άδειας λειτουργίας πρατήριων παροχής καυσίμων δημόσιας χρήσης, γ. οι αρμόδιες υπηρεσίες του άρθρου 5 της ως άνω ΚΥΑ για την επιστροφή και την διαδικασία καταβολής της επιστροφής του Ε.Φ.Κ., καθώς και οι αρμόδιες τελωνειακές και λοιπές ελεγκτικές υπηρεσίες της Α.Α.Δ.Ε. του άρθρου 6 της ως άνω ΚΥΑ για τον έλεγχο της νόμιμης χρησιμοποίησης του πετρελαίου εσωτερικής καύσης (DIESEL) κινητήρων αποκλειστικά στη γεωργία, για το οποίο χορηγείται επιστροφή Ε.Φ.Κ.</w:t>
      </w:r>
    </w:p>
    <w:p>
      <w:pPr>
        <w:spacing w:before="240" w:after="240"/>
        <w:rPr>
          <w:lang w:val="el" w:eastAsia="el"/>
        </w:rPr>
      </w:pPr>
      <w:r>
        <w:rPr>
          <w:b/>
          <w:bCs/>
          <w:lang w:val="el" w:eastAsia="el"/>
        </w:rPr>
        <w:t>Σκοπός της παρούσας είναι η ενημέρωση των δικαιούχων επιστροφής ΕΦΚ προσώπων (αγρότες), των κατόχων άδειας λειτουργίας πρατηρίων παροχής καυσίμων δημόσιας χρήσης και των αρμόδιων αρχών, και η παροχή διευκρινίσεων για την εφαρμογή της υπό στοιχεία Α.1173/2024 ΚΥΑ, με την οποία, μεταξύ άλλων, καθορίζεται το πλαίσιο της επιστροφής του ΕΦΚ πετρελαίου εσωτερικής καύσης (DIESEL) κινητήρων που πρόκειται να χρησιμοποιηθεί αποκλειστικά στη γεωργία, το έτος 2025, από τα δικαιούχα πρόσωπα όπως αυτά ορίζονται στο άρθρο 2 της ανωτέρω απόφασης, καθώς και ο χρόνος της επιστροφής βάσει των οριζόμενων στο άρθρο 3 αυτής.</w:t>
      </w:r>
    </w:p>
    <w:p>
      <w:pPr>
        <w:spacing w:before="240" w:after="240"/>
        <w:rPr>
          <w:lang w:val="el" w:eastAsia="el"/>
        </w:rPr>
      </w:pPr>
      <w:r>
        <w:rPr>
          <w:b/>
          <w:bCs/>
          <w:lang w:val="el" w:eastAsia="el"/>
        </w:rPr>
        <w:t>Ειδικότερα, βάσει των οριζόμενων στην Α. 1173/2024 ΚΥΑ:</w:t>
      </w:r>
    </w:p>
    <w:p>
      <w:pPr>
        <w:spacing w:before="240" w:after="240"/>
        <w:rPr>
          <w:lang w:val="el" w:eastAsia="el"/>
        </w:rPr>
      </w:pPr>
      <w:r>
        <w:rPr>
          <w:b/>
          <w:bCs/>
          <w:lang w:val="el" w:eastAsia="el"/>
        </w:rPr>
        <w:t xml:space="preserve">Η επιστροφή του ΕΦΚ θα πραγματοποιηθεί, ανά περίπτωση σύμφωνα με τα ειδικότερα οριζόμενα στην εν λόγω ΚΥΑ, βάσει </w:t>
      </w:r>
      <w:r>
        <w:rPr>
          <w:b/>
          <w:bCs/>
          <w:u w:val="single"/>
          <w:lang w:val="el" w:eastAsia="el"/>
        </w:rPr>
        <w:t>των τιμολογίων πώλησης</w:t>
      </w:r>
      <w:r>
        <w:rPr>
          <w:b/>
          <w:bCs/>
          <w:lang w:val="el" w:eastAsia="el"/>
        </w:rPr>
        <w:t xml:space="preserve"> για τις αγορές πετρελαίου κινητήρων που θα πραγματοποιήσουν τα δικαιούχα πρόσωπα, με σκοπό την αποκλειστική χρήση στη γεωργία, για τις οποίες τα οικεία τιμολόγια πώλησης θα έχουν εκδοθεί και διαβιβαστεί στις ψηφιακές πλατφόρμες myData και eSend της Ανεξάρτητης Αρχής Δημοσίων Εσόδων (Α.Α.Δ.Ε.) από την 1η Ιανουαρίου έως την 31 Δεκεμβρίου του 2025.</w:t>
      </w:r>
    </w:p>
    <w:p>
      <w:pPr>
        <w:spacing w:before="240" w:after="240"/>
        <w:rPr>
          <w:lang w:val="el" w:eastAsia="el"/>
        </w:rPr>
      </w:pPr>
      <w:r>
        <w:rPr>
          <w:b/>
          <w:bCs/>
          <w:lang w:val="el" w:eastAsia="el"/>
        </w:rPr>
        <w:t>Η ποσότητα του πετρελαίου κινητήρων για την οποία θα χορηγηθεί επιστροφή του ΕΦΚ, δεν δύναται να υπερβαίνει την μέγιστη ετήσια δικαιούμενη ποσότητα, όπως αυτή καθορίζεται βάσει της παρ. 2 του άρθρου 3 της ανωτέρω ΚΥΑ και η οποία απαιτείται για την εκτέλεση κάθε είδους εργασιών σχετικά με καλλιέργεια ή ομάδα καλλιεργειών του Παραρτήματος Ι καθώς και σε κάθε κατηγορία ή είδος ζωικού κεφαλαίου του Παραρτήματος IΙ της ως άνω ΚΥΑ, όπως αυτή προσδιορίζεται από τους δείκτες μηχανικής απασχόλησης (απαιτούμενης ενέργειας) των Παραρτημάτων Ι και ΙΙ.</w:t>
      </w:r>
    </w:p>
    <w:p>
      <w:pPr>
        <w:spacing w:before="240" w:after="240"/>
        <w:rPr>
          <w:lang w:val="el" w:eastAsia="el"/>
        </w:rPr>
      </w:pPr>
      <w:r>
        <w:rPr>
          <w:b/>
          <w:bCs/>
          <w:lang w:val="el" w:eastAsia="el"/>
        </w:rPr>
        <w:t xml:space="preserve">Επισημαίνεται ότι τα δικαιούχα επιστροφής ΕΦΚ πρόσωπα, για να τύχουν της επιστροφής του ΕΦΚ, </w:t>
      </w:r>
      <w:r>
        <w:rPr>
          <w:b/>
          <w:bCs/>
          <w:u w:val="single"/>
          <w:lang w:val="el" w:eastAsia="el"/>
        </w:rPr>
        <w:t>θα πρέπει να ζητούν</w:t>
      </w:r>
      <w:r>
        <w:rPr>
          <w:b/>
          <w:bCs/>
          <w:lang w:val="el" w:eastAsia="el"/>
        </w:rPr>
        <w:t xml:space="preserve"> από τα πρατήρια παροχής καυσίμων δημόσιας χρήσης, για τις αγορές πετρελαίου κινητήρων που πρόκειται να χρησιμοποιήσουν αποκλειστικά στη γεωργία, την </w:t>
      </w:r>
      <w:r>
        <w:rPr>
          <w:b/>
          <w:bCs/>
          <w:u w:val="single"/>
          <w:lang w:val="el" w:eastAsia="el"/>
        </w:rPr>
        <w:t>έκδοση τιμολογίου</w:t>
      </w:r>
      <w:r>
        <w:rPr>
          <w:b/>
          <w:bCs/>
          <w:lang w:val="el" w:eastAsia="el"/>
        </w:rPr>
        <w:t>.</w:t>
      </w:r>
    </w:p>
    <w:p>
      <w:pPr>
        <w:spacing w:before="240" w:after="240"/>
        <w:rPr>
          <w:lang w:val="el" w:eastAsia="el"/>
        </w:rPr>
      </w:pPr>
      <w:r>
        <w:rPr>
          <w:b/>
          <w:bCs/>
          <w:lang w:val="el" w:eastAsia="el"/>
        </w:rPr>
        <w:t>Εφίσταται η προσοχή ότι το τιμολόγιο, τo οποίo τηρείται στο αρχείο του δικαιούχου επιστροφής προσώπου για ενδεχόμενο έλεγχο, πρέπει να αφορά το ίδιο καύσιμο και την ίδια ποσότητα που αποτυπώνονται στην απόδειξη εσόδου που εκδίδεται αυτόματα από τον ΦΗΜ κατά την παράδοση του καυσίμου από την αντλία και πρέπει να εκδίδεται άμεσα κατόπιν έκδοσης της ως άνω απόδειξης. Σημειώνεται ότι η αυτόματα εκδιδόμενη απόδειξη, καθώς και το πιστωτικό στοιχείο λιανικής πώλησης, παραμένουν στην οντότητα-εκδότη, η οποία υποχρεούται να τα διαφυλάσσει σύμφωνα με τα προβλεπόμενα στην Ε.2056/2019.</w:t>
      </w:r>
    </w:p>
    <w:p>
      <w:pPr>
        <w:spacing w:before="240" w:after="240"/>
        <w:rPr>
          <w:lang w:val="el" w:eastAsia="el"/>
        </w:rPr>
      </w:pPr>
      <w:r>
        <w:rPr>
          <w:b/>
          <w:bCs/>
          <w:lang w:val="el" w:eastAsia="el"/>
        </w:rPr>
        <w:t>Επιπλέον επισημαίνεται ότι, με βάση την περ. στ’ της παρ. 4 του άρθρου 4 και την παρ. 3 του άρθρου 5 της υπό στοιχεία Α.1138/2020 Κοινής Απόφασης του Υφυπουργού Οικονομικών και του Διοικητή της ΑΑΔΕ (Β’ 2470) ορίζεται ότι στην περίπτωση κατά την οποία ο εκδότης των τιμολογίων, στην προκειμένη περίπτωση οντότητα - κάτοχος άδειας λειτουργίας πρατήριων παροχής καυσίμων δημόσιας χρήσης, δεν τηρεί την υποχρέωση της ηλεκτρονικής διαβίβασης των δεδομένων εντός των τιθέμενων προθεσμιών, η διαβίβαση από το λήπτη των τιμολογίων, στην προκειμένη περίπτωση δικαιούχο επιστροφής ΕΦΚ (οντότητα – επαγγελματία αγρότη), πραγματοποιείται πριν από τη λήξη προθεσμίας υποβολής της δήλωσης Φ.Π.Α. που αφορά τις υπόχρεες οντότητες που τηρούν είτε διπλογραφικό είτε απλογραφικό λογιστικό σύστημα. Στην περίπτωση κατά την οποία ο εκδότης διαβιβάσει δεδομένα με απόκλιση, ο λήπτης διαβιβάζει στο ίδιο χρονικό διάστημα ανά περίπτωση τηρούμενου λογιστικού συστήματος με σχετική επισήμανση περί απόκλισης διαβίβασης. Ειδικά για τους λήπτες που δεν υπάγονται σε Φ.Π.Α., η διαβίβαση των δεδομένων παράλειψης και απόκλισης διαβίβασης, διενεργείται μέχρι την ημερομηνία υποβολής της δήλωσης Φ.Π.Α. των τηρούντων απλογραφικό λογιστικό σύστημα.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 xml:space="preserve">1. </w:t>
      </w:r>
      <w:r>
        <w:rPr>
          <w:b/>
          <w:bCs/>
          <w:lang w:val="el" w:eastAsia="el"/>
        </w:rPr>
        <w:t xml:space="preserve">Δ/νση Στρατηγικής Τεχνολογιών Πληροφορικής (ΔΙ.Σ.ΤΕ.ΠΛ) της Γ.Δ.ΗΛΕ.Δ. (για ενημέρωση της Ηλεκτρονικής Βιβλιοθήκης και του portal της Α.Α.Δ.Ε), e-mail: </w:t>
      </w:r>
      <w:hyperlink r:id="rId4"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&amp; Οικονομικών κ. Δήμα</w:t>
      </w:r>
    </w:p>
    <w:p>
      <w:pPr>
        <w:spacing w:before="240" w:after="240"/>
        <w:rPr>
          <w:lang w:val="el" w:eastAsia="el"/>
        </w:rPr>
      </w:pPr>
      <w:r>
        <w:rPr>
          <w:lang w:val="el" w:eastAsia="el"/>
        </w:rPr>
        <w:t xml:space="preserve">3. </w:t>
      </w:r>
      <w:r>
        <w:rPr>
          <w:b/>
          <w:bCs/>
          <w:lang w:val="el" w:eastAsia="el"/>
        </w:rPr>
        <w:t>Γραφείο Υφυπουργού Εθνικής Οικονομίας &amp; Οικονομικών κ. Πετραλιά</w:t>
      </w:r>
    </w:p>
    <w:p>
      <w:pPr>
        <w:spacing w:before="240" w:after="240"/>
        <w:rPr>
          <w:lang w:val="el" w:eastAsia="el"/>
        </w:rPr>
      </w:pPr>
      <w:r>
        <w:rPr>
          <w:lang w:val="el" w:eastAsia="el"/>
        </w:rPr>
        <w:t xml:space="preserve">4. </w:t>
      </w:r>
      <w:r>
        <w:rPr>
          <w:b/>
          <w:bCs/>
          <w:lang w:val="el" w:eastAsia="el"/>
        </w:rPr>
        <w:t>Γραφείο Υπουργού Αγροτικής Ανάπτυξης και Τροφίμων</w:t>
      </w:r>
    </w:p>
    <w:p>
      <w:pPr>
        <w:spacing w:before="240" w:after="240"/>
        <w:rPr>
          <w:lang w:val="el" w:eastAsia="el"/>
        </w:rPr>
      </w:pPr>
      <w:r>
        <w:rPr>
          <w:lang w:val="el" w:eastAsia="el"/>
        </w:rPr>
        <w:t xml:space="preserve">5. </w:t>
      </w:r>
      <w:r>
        <w:rPr>
          <w:b/>
          <w:bCs/>
          <w:lang w:val="el" w:eastAsia="el"/>
        </w:rPr>
        <w:t>Διεύθυνση Νομικής Υποστήριξης Α.Α.Δ.Ε.</w:t>
      </w:r>
    </w:p>
    <w:p>
      <w:pPr>
        <w:spacing w:before="240" w:after="240"/>
        <w:rPr>
          <w:lang w:val="el" w:eastAsia="el"/>
        </w:rPr>
      </w:pPr>
      <w:r>
        <w:rPr>
          <w:lang w:val="el" w:eastAsia="el"/>
        </w:rPr>
        <w:t xml:space="preserve">6. </w:t>
      </w:r>
      <w:r>
        <w:rPr>
          <w:b/>
          <w:bCs/>
          <w:lang w:val="el" w:eastAsia="el"/>
        </w:rPr>
        <w:t>Δ/νση Επικοινωνίας ΑΑΔΕ</w:t>
      </w:r>
    </w:p>
    <w:p>
      <w:pPr>
        <w:spacing w:before="240" w:after="240"/>
        <w:rPr>
          <w:lang w:val="el" w:eastAsia="el"/>
        </w:rPr>
      </w:pPr>
      <w:r>
        <w:rPr>
          <w:lang w:val="el" w:eastAsia="el"/>
        </w:rPr>
        <w:t xml:space="preserve">7. </w:t>
      </w:r>
      <w:r>
        <w:rPr>
          <w:b/>
          <w:bCs/>
          <w:lang w:val="el" w:eastAsia="el"/>
        </w:rPr>
        <w:t>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b/>
          <w:bCs/>
          <w:lang w:val="el" w:eastAsia="el"/>
        </w:rPr>
        <w:t>Δ/νση Ανάπτυξης Τελωνειακών, Ελεγκτικών και Επιχειρησιακών Εφαρμογών (Δ.Α.Τ.Ε.),</w:t>
      </w:r>
    </w:p>
    <w:p>
      <w:pPr>
        <w:spacing w:before="240" w:after="240"/>
        <w:rPr>
          <w:lang w:val="el" w:eastAsia="el"/>
        </w:rPr>
      </w:pPr>
      <w:r>
        <w:rPr>
          <w:b/>
          <w:bCs/>
          <w:lang w:val="el" w:eastAsia="el"/>
        </w:rPr>
        <w:t>Υποδιεύθυνση Ανάπτυξης Τελωνειακών Εφαρμογών - Τμήμα Β΄ β) Δ/νση Ανάπτυξης Φορολογικών Εφαρμογών - Τμήμα Ε΄</w:t>
      </w:r>
    </w:p>
    <w:p>
      <w:pPr>
        <w:pStyle w:val="StructureList1"/>
        <w:spacing w:before="120" w:after="0"/>
        <w:rPr>
          <w:lang w:val="el" w:eastAsia="el"/>
        </w:rPr>
      </w:pPr>
      <w:r>
        <w:rPr>
          <w:lang w:val="el" w:eastAsia="el"/>
        </w:rPr>
        <w:t>γ)</w:t>
      </w:r>
      <w:r>
        <w:rPr>
          <w:lang w:val="en" w:eastAsia="en"/>
        </w:rPr>
        <w:tab/>
      </w:r>
      <w:r>
        <w:rPr>
          <w:b/>
          <w:bCs/>
          <w:lang w:val="el" w:eastAsia="el"/>
        </w:rPr>
        <w:t>Διεύθυνση Διαχείρισης Υποδομών – Τμήμα Ε΄</w:t>
      </w:r>
    </w:p>
    <w:p>
      <w:pPr>
        <w:pStyle w:val="StructureList1"/>
        <w:spacing w:before="120" w:after="0"/>
        <w:rPr>
          <w:lang w:val="el" w:eastAsia="el"/>
        </w:rPr>
      </w:pPr>
      <w:r>
        <w:rPr>
          <w:lang w:val="el" w:eastAsia="el"/>
        </w:rPr>
        <w:t>δ)</w:t>
      </w:r>
      <w:r>
        <w:rPr>
          <w:lang w:val="en" w:eastAsia="en"/>
        </w:rPr>
        <w:tab/>
      </w:r>
      <w:r>
        <w:rPr>
          <w:b/>
          <w:bCs/>
          <w:lang w:val="el" w:eastAsia="el"/>
        </w:rPr>
        <w:t>Διεύθυνση Επιχειρησιακών Διαδικασιών – Υποδιεύθυνση Απαιτήσεων και Ελέγχου Εφαρμογών</w:t>
      </w:r>
    </w:p>
    <w:p>
      <w:pPr>
        <w:spacing w:before="240" w:after="240"/>
        <w:rPr>
          <w:lang w:val="el" w:eastAsia="el"/>
        </w:rPr>
      </w:pPr>
      <w:r>
        <w:rPr>
          <w:b/>
          <w:bCs/>
          <w:lang w:val="el" w:eastAsia="el"/>
        </w:rPr>
        <w:t>Φορολογίας – Τμήμα Β΄</w:t>
      </w:r>
    </w:p>
    <w:p>
      <w:pPr>
        <w:spacing w:before="240" w:after="240"/>
        <w:rPr>
          <w:lang w:val="el" w:eastAsia="el"/>
        </w:rPr>
      </w:pPr>
      <w:r>
        <w:rPr>
          <w:lang w:val="el" w:eastAsia="el"/>
        </w:rPr>
        <w:t xml:space="preserve">8. </w:t>
      </w:r>
      <w:r>
        <w:rPr>
          <w:b/>
          <w:bCs/>
          <w:lang w:val="el" w:eastAsia="el"/>
        </w:rPr>
        <w:t>Αποδέκτες Πίνακα Δ΄ εκτός ΔΔΔΥ</w:t>
      </w:r>
    </w:p>
    <w:p>
      <w:pPr>
        <w:spacing w:before="240" w:after="240"/>
        <w:rPr>
          <w:lang w:val="el" w:eastAsia="el"/>
        </w:rPr>
      </w:pPr>
      <w:r>
        <w:rPr>
          <w:lang w:val="el" w:eastAsia="el"/>
        </w:rPr>
        <w:t xml:space="preserve">9. </w:t>
      </w:r>
      <w:r>
        <w:rPr>
          <w:b/>
          <w:bCs/>
          <w:lang w:val="el" w:eastAsia="el"/>
        </w:rPr>
        <w:t>Συντονιστικό Επιχειρησιακό Κέντρο (Σ.Ε.Κ.)</w:t>
      </w:r>
    </w:p>
    <w:p>
      <w:pPr>
        <w:spacing w:before="240" w:after="240"/>
        <w:rPr>
          <w:lang w:val="el" w:eastAsia="el"/>
        </w:rPr>
      </w:pPr>
      <w:r>
        <w:rPr>
          <w:lang w:val="el" w:eastAsia="el"/>
        </w:rPr>
        <w:t xml:space="preserve">10.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11. </w:t>
      </w:r>
      <w:r>
        <w:rPr>
          <w:b/>
          <w:bCs/>
          <w:lang w:val="el" w:eastAsia="el"/>
        </w:rPr>
        <w:t>Δ/νση Εσωτερικού Ελέγχου</w:t>
      </w:r>
    </w:p>
    <w:p>
      <w:pPr>
        <w:spacing w:before="240" w:after="240"/>
        <w:rPr>
          <w:lang w:val="el" w:eastAsia="el"/>
        </w:rPr>
      </w:pPr>
      <w:r>
        <w:rPr>
          <w:lang w:val="el" w:eastAsia="el"/>
        </w:rPr>
        <w:t xml:space="preserve">12. </w:t>
      </w:r>
      <w:r>
        <w:rPr>
          <w:b/>
          <w:bCs/>
          <w:lang w:val="el" w:eastAsia="el"/>
        </w:rPr>
        <w:t>Ελληνική Στατιστική Αρχή - Πειραιώς 46 ΤΚ 18510 – Πειραιάς</w:t>
      </w:r>
    </w:p>
    <w:p>
      <w:pPr>
        <w:spacing w:before="240" w:after="240"/>
        <w:rPr>
          <w:lang w:val="el" w:eastAsia="el"/>
        </w:rPr>
      </w:pPr>
      <w:r>
        <w:rPr>
          <w:lang w:val="el" w:eastAsia="el"/>
        </w:rPr>
        <w:t xml:space="preserve">13. </w:t>
      </w:r>
      <w:r>
        <w:rPr>
          <w:b/>
          <w:bCs/>
          <w:lang w:val="el" w:eastAsia="el"/>
        </w:rPr>
        <w:t xml:space="preserve">Τράπεζα της Ελλάδος – Δ/νση Εργασιών Δημοσίου (email: </w:t>
      </w:r>
      <w:hyperlink r:id="rId5" w:history="1">
        <w:r>
          <w:rPr>
            <w:rStyle w:val="Hyperlink"/>
            <w:b/>
            <w:bCs/>
            <w:color w:val="0000EE"/>
            <w:u w:color="0000EE"/>
            <w:lang w:val="el" w:eastAsia="el"/>
          </w:rPr>
          <w:t>Egatzonas@bankofgreece.gr</w:t>
        </w:r>
        <w:r>
          <w:rPr>
            <w:rStyle w:val="Hyperlink"/>
            <w:b/>
            <w:bCs/>
            <w:color w:val="0000EE"/>
            <w:u w:color="0000EE"/>
            <w:lang w:val="el" w:eastAsia="el"/>
          </w:rPr>
          <w:t>)</w:t>
        </w:r>
      </w:hyperlink>
    </w:p>
    <w:p>
      <w:pPr>
        <w:spacing w:before="240" w:after="240"/>
        <w:rPr>
          <w:lang w:val="el" w:eastAsia="el"/>
        </w:rPr>
      </w:pPr>
      <w:r>
        <w:rPr>
          <w:lang w:val="el" w:eastAsia="el"/>
        </w:rPr>
        <w:t xml:space="preserve">14. </w:t>
      </w:r>
      <w:r>
        <w:rPr>
          <w:b/>
          <w:bCs/>
          <w:lang w:val="el" w:eastAsia="el"/>
        </w:rPr>
        <w:t xml:space="preserve">ΔΙΑΣ Α.Ε. – Γενική Δ/νση Συστήματος Πληρωμών – Δ/νση Λειτουργιών ( e-mail: </w:t>
      </w:r>
      <w:hyperlink r:id="rId6" w:history="1">
        <w:r>
          <w:rPr>
            <w:rStyle w:val="Hyperlink"/>
            <w:b/>
            <w:bCs/>
            <w:color w:val="0000EE"/>
            <w:u w:color="0000EE"/>
            <w:lang w:val="el" w:eastAsia="el"/>
          </w:rPr>
          <w:t>diasbo@dias.com.gr</w:t>
        </w:r>
        <w:r>
          <w:rPr>
            <w:rStyle w:val="Hyperlink"/>
            <w:b/>
            <w:bCs/>
            <w:color w:val="0000EE"/>
            <w:u w:color="0000EE"/>
            <w:lang w:val="el" w:eastAsia="el"/>
          </w:rPr>
          <w:t>)</w:t>
        </w:r>
      </w:hyperlink>
    </w:p>
    <w:p>
      <w:pPr>
        <w:spacing w:before="240" w:after="240"/>
        <w:rPr>
          <w:lang w:val="el" w:eastAsia="el"/>
        </w:rPr>
      </w:pPr>
      <w:r>
        <w:rPr>
          <w:lang w:val="el" w:eastAsia="el"/>
        </w:rPr>
        <w:t xml:space="preserve">15. </w:t>
      </w:r>
      <w:r>
        <w:rPr>
          <w:b/>
          <w:bCs/>
          <w:lang w:val="el" w:eastAsia="el"/>
        </w:rPr>
        <w:t>Γενική Δ/νση Ανθρώπινου Δυναμικού &amp; Οργάνωσης (Γ.Δ.Α.Δ.Ο.)</w:t>
      </w:r>
    </w:p>
    <w:p>
      <w:pPr>
        <w:pStyle w:val="StructureList1"/>
        <w:spacing w:before="120" w:after="0"/>
        <w:rPr>
          <w:lang w:val="el" w:eastAsia="el"/>
        </w:rPr>
      </w:pPr>
      <w:r>
        <w:rPr>
          <w:lang w:val="el" w:eastAsia="el"/>
        </w:rPr>
        <w:t>α)</w:t>
      </w:r>
      <w:r>
        <w:rPr>
          <w:lang w:val="en" w:eastAsia="en"/>
        </w:rPr>
        <w:tab/>
      </w:r>
      <w:r>
        <w:rPr>
          <w:b/>
          <w:bCs/>
          <w:lang w:val="el" w:eastAsia="el"/>
        </w:rPr>
        <w:t>Δ/νση Διαχείρισης Ανθρώπινου Δυναμικού (Δ.Δ.Α.Δ.) β) Δ/νση Οργάνωσης</w:t>
      </w:r>
    </w:p>
    <w:p>
      <w:pPr>
        <w:spacing w:before="240" w:after="240"/>
        <w:rPr>
          <w:lang w:val="el" w:eastAsia="el"/>
        </w:rPr>
      </w:pPr>
      <w:r>
        <w:rPr>
          <w:lang w:val="el" w:eastAsia="el"/>
        </w:rPr>
        <w:t xml:space="preserve">16. </w:t>
      </w:r>
      <w:r>
        <w:rPr>
          <w:b/>
          <w:bCs/>
          <w:lang w:val="el" w:eastAsia="el"/>
        </w:rPr>
        <w:t>Γενική Δ/νση Σώματος Δίωξης Οικονομικού Εγκλήματος (ΣΔΟΕ) του Υπουργείου Οικονομικών</w:t>
      </w:r>
    </w:p>
    <w:p>
      <w:pPr>
        <w:spacing w:before="240" w:after="240"/>
        <w:rPr>
          <w:lang w:val="el" w:eastAsia="el"/>
        </w:rPr>
      </w:pPr>
      <w:r>
        <w:rPr>
          <w:lang w:val="el" w:eastAsia="el"/>
        </w:rPr>
        <w:t xml:space="preserve">17. </w:t>
      </w:r>
      <w:r>
        <w:rPr>
          <w:b/>
          <w:bCs/>
          <w:lang w:val="el" w:eastAsia="el"/>
        </w:rPr>
        <w:t>Διεύθυνση Φορολογικής και Τελωνειακής Ακαδημίας</w:t>
      </w:r>
    </w:p>
    <w:p>
      <w:pPr>
        <w:spacing w:before="240" w:after="240"/>
        <w:rPr>
          <w:lang w:val="el" w:eastAsia="el"/>
        </w:rPr>
      </w:pPr>
      <w:r>
        <w:rPr>
          <w:lang w:val="el" w:eastAsia="el"/>
        </w:rPr>
        <w:t xml:space="preserve">18. </w:t>
      </w:r>
      <w:r>
        <w:rPr>
          <w:b/>
          <w:bCs/>
          <w:lang w:val="el" w:eastAsia="el"/>
        </w:rPr>
        <w:t>Υπουργείο Αγροτικής Ανάπτυξης &amp; Τροφίμων</w:t>
      </w:r>
    </w:p>
    <w:p>
      <w:pPr>
        <w:spacing w:before="240" w:after="240"/>
        <w:rPr>
          <w:lang w:val="el" w:eastAsia="el"/>
        </w:rPr>
      </w:pPr>
      <w:r>
        <w:rPr>
          <w:b/>
          <w:bCs/>
          <w:lang w:val="el" w:eastAsia="el"/>
        </w:rPr>
        <w:t>Γενική Γραμματεία Αγροτικής Ανάπτυξης και Τροφίμων</w:t>
      </w:r>
    </w:p>
    <w:p>
      <w:pPr>
        <w:pStyle w:val="StructureList1"/>
        <w:spacing w:before="120" w:after="0"/>
        <w:rPr>
          <w:lang w:val="el" w:eastAsia="el"/>
        </w:rPr>
      </w:pPr>
      <w:r>
        <w:rPr>
          <w:lang w:val="el" w:eastAsia="el"/>
        </w:rPr>
        <w:t>α)</w:t>
      </w:r>
      <w:r>
        <w:rPr>
          <w:lang w:val="en" w:eastAsia="en"/>
        </w:rPr>
        <w:tab/>
      </w:r>
      <w:r>
        <w:rPr>
          <w:b/>
          <w:bCs/>
          <w:lang w:val="el" w:eastAsia="el"/>
        </w:rPr>
        <w:t>Γενική Διεύθυνση Διοικητικών Υπηρεσιών και Ηλεκτρονικής Διακυβέρνησης</w:t>
      </w:r>
    </w:p>
    <w:p>
      <w:pPr>
        <w:spacing w:before="240" w:after="240"/>
        <w:rPr>
          <w:lang w:val="el" w:eastAsia="el"/>
        </w:rPr>
      </w:pPr>
      <w:r>
        <w:rPr>
          <w:b/>
          <w:bCs/>
          <w:lang w:val="el" w:eastAsia="el"/>
        </w:rPr>
        <w:t>Διεύθυνση Ηλεκτρονικής Διακυβέρνησης</w:t>
      </w:r>
    </w:p>
    <w:p>
      <w:pPr>
        <w:pStyle w:val="StructureList1"/>
        <w:spacing w:before="120" w:after="0"/>
        <w:rPr>
          <w:lang w:val="el" w:eastAsia="el"/>
        </w:rPr>
      </w:pPr>
      <w:r>
        <w:rPr>
          <w:lang w:val="el" w:eastAsia="el"/>
        </w:rPr>
        <w:t>β)</w:t>
      </w:r>
      <w:r>
        <w:rPr>
          <w:lang w:val="en" w:eastAsia="en"/>
        </w:rPr>
        <w:tab/>
      </w:r>
      <w:r>
        <w:rPr>
          <w:b/>
          <w:bCs/>
          <w:lang w:val="el" w:eastAsia="el"/>
        </w:rPr>
        <w:t>Γενική Διεύθυνση Αποκεντρωμένων Δομών</w:t>
      </w:r>
    </w:p>
    <w:p>
      <w:pPr>
        <w:spacing w:before="240" w:after="240"/>
        <w:rPr>
          <w:lang w:val="el" w:eastAsia="el"/>
        </w:rPr>
      </w:pPr>
      <w:r>
        <w:rPr>
          <w:lang w:val="el" w:eastAsia="el"/>
        </w:rPr>
        <w:t xml:space="preserve">19. </w:t>
      </w:r>
      <w:r>
        <w:rPr>
          <w:b/>
          <w:bCs/>
          <w:lang w:val="el" w:eastAsia="el"/>
        </w:rPr>
        <w:t>Υπουργείο Εθνικής Οικονομίας και Οικονομικών</w:t>
      </w:r>
    </w:p>
    <w:p>
      <w:pPr>
        <w:spacing w:before="240" w:after="240"/>
        <w:rPr>
          <w:lang w:val="el" w:eastAsia="el"/>
        </w:rPr>
      </w:pPr>
      <w:r>
        <w:rPr>
          <w:b/>
          <w:bCs/>
          <w:lang w:val="el" w:eastAsia="el"/>
        </w:rPr>
        <w:t>Γενική Γραμματεία Δημοσιονομικής Πολιτικής</w:t>
      </w:r>
    </w:p>
    <w:p>
      <w:pPr>
        <w:spacing w:before="240" w:after="240"/>
        <w:rPr>
          <w:lang w:val="el" w:eastAsia="el"/>
        </w:rPr>
      </w:pPr>
      <w:r>
        <w:rPr>
          <w:b/>
          <w:bCs/>
          <w:lang w:val="el" w:eastAsia="el"/>
        </w:rPr>
        <w:t>Γενική Δ/νση Θησαυροφυλακίου &amp; Δημοσιονομικών Κανόνων</w:t>
      </w:r>
    </w:p>
    <w:p>
      <w:pPr>
        <w:spacing w:before="240" w:after="240"/>
        <w:rPr>
          <w:lang w:val="el" w:eastAsia="el"/>
        </w:rPr>
      </w:pPr>
      <w:r>
        <w:rPr>
          <w:b/>
          <w:bCs/>
          <w:lang w:val="el" w:eastAsia="el"/>
        </w:rPr>
        <w:t>Δ/νση Λογαριασμών &amp; Ταμειακού Προγραμματισμού</w:t>
      </w:r>
    </w:p>
    <w:p>
      <w:pPr>
        <w:spacing w:before="240" w:after="240"/>
        <w:rPr>
          <w:lang w:val="el" w:eastAsia="el"/>
        </w:rPr>
      </w:pPr>
      <w:r>
        <w:rPr>
          <w:lang w:val="el" w:eastAsia="el"/>
        </w:rPr>
        <w:t xml:space="preserve">20. </w:t>
      </w:r>
      <w:r>
        <w:rPr>
          <w:b/>
          <w:bCs/>
          <w:lang w:val="el" w:eastAsia="el"/>
        </w:rPr>
        <w:t>ΟΠΕΚΕΠΕ</w:t>
      </w:r>
    </w:p>
    <w:p>
      <w:pPr>
        <w:pStyle w:val="StructureList1"/>
        <w:spacing w:before="120" w:after="0"/>
        <w:rPr>
          <w:lang w:val="el" w:eastAsia="el"/>
        </w:rPr>
      </w:pPr>
      <w:r>
        <w:rPr>
          <w:lang w:val="el" w:eastAsia="el"/>
        </w:rPr>
        <w:t>α)</w:t>
      </w:r>
      <w:r>
        <w:rPr>
          <w:lang w:val="en" w:eastAsia="en"/>
        </w:rPr>
        <w:tab/>
      </w:r>
      <w:r>
        <w:rPr>
          <w:b/>
          <w:bCs/>
          <w:lang w:val="el" w:eastAsia="el"/>
        </w:rPr>
        <w:t>Γραφείο Προέδρου</w:t>
      </w:r>
    </w:p>
    <w:p>
      <w:pPr>
        <w:pStyle w:val="StructureList1"/>
        <w:spacing w:before="120" w:after="0"/>
        <w:rPr>
          <w:lang w:val="el" w:eastAsia="el"/>
        </w:rPr>
      </w:pPr>
      <w:r>
        <w:rPr>
          <w:lang w:val="el" w:eastAsia="el"/>
        </w:rPr>
        <w:t>β)</w:t>
      </w:r>
      <w:r>
        <w:rPr>
          <w:lang w:val="en" w:eastAsia="en"/>
        </w:rPr>
        <w:tab/>
      </w:r>
      <w:r>
        <w:rPr>
          <w:b/>
          <w:bCs/>
          <w:lang w:val="el" w:eastAsia="el"/>
        </w:rPr>
        <w:t>Γραφείο Γενικού Διευθυντή</w:t>
      </w:r>
    </w:p>
    <w:p>
      <w:pPr>
        <w:pStyle w:val="StructureList1"/>
        <w:spacing w:before="120" w:after="0"/>
        <w:rPr>
          <w:lang w:val="el" w:eastAsia="el"/>
        </w:rPr>
      </w:pPr>
      <w:r>
        <w:rPr>
          <w:lang w:val="el" w:eastAsia="el"/>
        </w:rPr>
        <w:t>γ)</w:t>
      </w:r>
      <w:r>
        <w:rPr>
          <w:lang w:val="en" w:eastAsia="en"/>
        </w:rPr>
        <w:tab/>
      </w:r>
      <w:r>
        <w:rPr>
          <w:b/>
          <w:bCs/>
          <w:lang w:val="el" w:eastAsia="el"/>
        </w:rPr>
        <w:t>Δ/νση Άμεσων Ενισχύσεων και Αγοράς</w:t>
      </w:r>
    </w:p>
    <w:p>
      <w:pPr>
        <w:spacing w:before="240" w:after="240"/>
        <w:rPr>
          <w:lang w:val="el" w:eastAsia="el"/>
        </w:rPr>
      </w:pPr>
      <w:r>
        <w:rPr>
          <w:b/>
          <w:bCs/>
          <w:lang w:val="el" w:eastAsia="el"/>
        </w:rPr>
        <w:t>Δομοκού 5 104 45</w:t>
      </w:r>
    </w:p>
    <w:p>
      <w:pPr>
        <w:spacing w:before="240" w:after="240"/>
        <w:rPr>
          <w:lang w:val="el" w:eastAsia="el"/>
        </w:rPr>
      </w:pPr>
      <w:r>
        <w:rPr>
          <w:lang w:val="el" w:eastAsia="el"/>
        </w:rPr>
        <w:t xml:space="preserve">21. </w:t>
      </w:r>
      <w:r>
        <w:rPr>
          <w:b/>
          <w:bCs/>
          <w:lang w:val="el" w:eastAsia="el"/>
        </w:rPr>
        <w:t xml:space="preserve">Εθνική Ένωση Αγροτικών Συνεταιρισμών (ΕΘΕΑΣ), email: </w:t>
      </w:r>
      <w:hyperlink r:id="rId7" w:history="1">
        <w:r>
          <w:rPr>
            <w:rStyle w:val="Hyperlink"/>
            <w:b/>
            <w:bCs/>
            <w:color w:val="0000EE"/>
            <w:u w:color="0000EE"/>
            <w:lang w:val="el" w:eastAsia="el"/>
          </w:rPr>
          <w:t>etheas.greece@gmail.com</w:t>
        </w:r>
      </w:hyperlink>
      <w:r>
        <w:rPr>
          <w:b/>
          <w:bCs/>
          <w:lang w:val="el" w:eastAsia="el"/>
        </w:rPr>
        <w:t xml:space="preserve"> (με την παράκληση να ενημερώσει τα μέλη της)</w:t>
      </w:r>
    </w:p>
    <w:p>
      <w:pPr>
        <w:spacing w:before="240" w:after="240"/>
        <w:rPr>
          <w:lang w:val="el" w:eastAsia="el"/>
        </w:rPr>
      </w:pPr>
      <w:r>
        <w:rPr>
          <w:lang w:val="el" w:eastAsia="el"/>
        </w:rPr>
        <w:t xml:space="preserve">22. </w:t>
      </w:r>
      <w:r>
        <w:rPr>
          <w:b/>
          <w:bCs/>
          <w:lang w:val="el" w:eastAsia="el"/>
        </w:rPr>
        <w:t xml:space="preserve">Πανελλήνια Ομοσπονδία Πρατηριούχων Εμπόρων Καυσίμων (ΠΟΠΕΚ), email: </w:t>
      </w:r>
      <w:hyperlink r:id="rId8" w:history="1">
        <w:r>
          <w:rPr>
            <w:rStyle w:val="Hyperlink"/>
            <w:b/>
            <w:bCs/>
            <w:color w:val="0000EE"/>
            <w:u w:color="0000EE"/>
            <w:lang w:val="el" w:eastAsia="el"/>
          </w:rPr>
          <w:t xml:space="preserve">popek@popek.gr </w:t>
        </w:r>
      </w:hyperlink>
      <w:r>
        <w:rPr>
          <w:b/>
          <w:bCs/>
          <w:lang w:val="el" w:eastAsia="el"/>
        </w:rPr>
        <w:t>(με την παράκληση να ενημερώσει τα μέλη της)</w:t>
      </w:r>
    </w:p>
    <w:p>
      <w:pPr>
        <w:spacing w:before="240" w:after="240"/>
        <w:rPr>
          <w:lang w:val="el" w:eastAsia="el"/>
        </w:rPr>
      </w:pPr>
      <w:r>
        <w:rPr>
          <w:lang w:val="el" w:eastAsia="el"/>
        </w:rPr>
        <w:t xml:space="preserve">23. </w:t>
      </w:r>
      <w:r>
        <w:rPr>
          <w:b/>
          <w:bCs/>
          <w:lang w:val="el" w:eastAsia="el"/>
        </w:rPr>
        <w:t xml:space="preserve">Ομοσπονδία Βενζινοπωλών Ελλάδος (Ο.Β.Ε.), email: </w:t>
      </w:r>
      <w:hyperlink r:id="rId9" w:history="1">
        <w:r>
          <w:rPr>
            <w:rStyle w:val="Hyperlink"/>
            <w:b/>
            <w:bCs/>
            <w:color w:val="0000EE"/>
            <w:u w:color="0000EE"/>
            <w:lang w:val="el" w:eastAsia="el"/>
          </w:rPr>
          <w:t>info@obe.gr</w:t>
        </w:r>
      </w:hyperlink>
      <w:r>
        <w:rPr>
          <w:b/>
          <w:bCs/>
          <w:lang w:val="el" w:eastAsia="el"/>
        </w:rPr>
        <w:t xml:space="preserve"> (με την παράκληση να ενημερώσει τα μέλη της)</w:t>
      </w:r>
    </w:p>
    <w:p>
      <w:pPr>
        <w:spacing w:before="240" w:after="240"/>
        <w:rPr>
          <w:lang w:val="el" w:eastAsia="el"/>
        </w:rPr>
      </w:pPr>
      <w:r>
        <w:rPr>
          <w:b/>
          <w:bCs/>
          <w:u w:val="single"/>
          <w:lang w:val="el" w:eastAsia="el"/>
        </w:rPr>
        <w:t>Γ.ΕΣΩΤΕΡΙΚΗ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Γεν. Δ/νση Τελωνείων &amp; Ε.Φ.Κ.</w:t>
      </w:r>
    </w:p>
    <w:p>
      <w:pPr>
        <w:pStyle w:val="StructureList1"/>
        <w:spacing w:before="120" w:after="0"/>
        <w:rPr>
          <w:lang w:val="el" w:eastAsia="el"/>
        </w:rPr>
      </w:pPr>
      <w:r>
        <w:rPr>
          <w:lang w:val="el" w:eastAsia="el"/>
        </w:rPr>
        <w:t>α)</w:t>
      </w:r>
      <w:r>
        <w:rPr>
          <w:lang w:val="en" w:eastAsia="en"/>
        </w:rPr>
        <w:tab/>
      </w:r>
      <w:r>
        <w:rPr>
          <w:b/>
          <w:bCs/>
          <w:lang w:val="el" w:eastAsia="el"/>
        </w:rPr>
        <w:t>Αυτοτελές Τμήμα Υποστήριξης Γ.Δ.Τ. και Ε.Φ.Κ.</w:t>
      </w:r>
    </w:p>
    <w:p>
      <w:pPr>
        <w:pStyle w:val="StructureList1"/>
        <w:spacing w:before="120" w:after="0"/>
        <w:rPr>
          <w:lang w:val="el" w:eastAsia="el"/>
        </w:rPr>
      </w:pPr>
      <w:r>
        <w:rPr>
          <w:lang w:val="el" w:eastAsia="el"/>
        </w:rPr>
        <w:t>β)</w:t>
      </w:r>
      <w:r>
        <w:rPr>
          <w:lang w:val="en" w:eastAsia="en"/>
        </w:rPr>
        <w:tab/>
      </w:r>
      <w:r>
        <w:rPr>
          <w:b/>
          <w:bCs/>
          <w:lang w:val="el" w:eastAsia="el"/>
        </w:rPr>
        <w:t>Δ/νση ΕΦΚ &amp; ΦΠΑ</w:t>
      </w:r>
    </w:p>
    <w:p>
      <w:pPr>
        <w:pStyle w:val="StructureList1"/>
        <w:spacing w:before="120" w:after="0"/>
        <w:rPr>
          <w:lang w:val="el" w:eastAsia="el"/>
        </w:rPr>
      </w:pPr>
      <w:r>
        <w:rPr>
          <w:lang w:val="el" w:eastAsia="el"/>
        </w:rPr>
        <w:t>γ)</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δ)</w:t>
      </w:r>
      <w:r>
        <w:rPr>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lang w:val="el" w:eastAsia="el"/>
        </w:rPr>
        <w:t>ε)</w:t>
      </w:r>
      <w:r>
        <w:rPr>
          <w:lang w:val="en" w:eastAsia="en"/>
        </w:rPr>
        <w:tab/>
      </w:r>
      <w:r>
        <w:rPr>
          <w:b/>
          <w:bCs/>
          <w:lang w:val="el" w:eastAsia="el"/>
        </w:rPr>
        <w:t>Διεύθυνση Στρατηγικής Τελωνειακών Ελέγχων και Παραβάσεων (Δ.Σ.Τ.Ε.Π)</w:t>
      </w:r>
    </w:p>
    <w:p>
      <w:pPr>
        <w:spacing w:before="240" w:after="240"/>
        <w:rPr>
          <w:lang w:val="el" w:eastAsia="el"/>
        </w:rPr>
      </w:pPr>
      <w:r>
        <w:rPr>
          <w:lang w:val="el" w:eastAsia="el"/>
        </w:rPr>
        <w:t xml:space="preserve">3. </w:t>
      </w:r>
      <w:r>
        <w:rPr>
          <w:b/>
          <w:bCs/>
          <w:lang w:val="el" w:eastAsia="el"/>
        </w:rPr>
        <w:t>Γενική Δ/νση Φορολογίας</w:t>
      </w:r>
    </w:p>
    <w:p>
      <w:pPr>
        <w:pStyle w:val="StructureList1"/>
        <w:spacing w:before="120" w:after="0"/>
        <w:rPr>
          <w:lang w:val="el" w:eastAsia="el"/>
        </w:rPr>
      </w:pPr>
      <w:r>
        <w:rPr>
          <w:lang w:val="el" w:eastAsia="el"/>
        </w:rPr>
        <w:t>α)</w:t>
      </w:r>
      <w:r>
        <w:rPr>
          <w:lang w:val="en" w:eastAsia="en"/>
        </w:rPr>
        <w:tab/>
      </w:r>
      <w:r>
        <w:rPr>
          <w:b/>
          <w:bCs/>
          <w:lang w:val="el" w:eastAsia="el"/>
        </w:rPr>
        <w:t>Δ/νση Διαδικασιών Εισπράξεων &amp; Επιστροφών</w:t>
      </w:r>
    </w:p>
    <w:p>
      <w:pPr>
        <w:pStyle w:val="StructureList1"/>
        <w:spacing w:before="120" w:after="0"/>
        <w:rPr>
          <w:lang w:val="el" w:eastAsia="el"/>
        </w:rPr>
      </w:pPr>
      <w:r>
        <w:rPr>
          <w:lang w:val="el" w:eastAsia="el"/>
        </w:rPr>
        <w:t>β)</w:t>
      </w:r>
      <w:r>
        <w:rPr>
          <w:lang w:val="en" w:eastAsia="en"/>
        </w:rPr>
        <w:tab/>
      </w:r>
      <w:r>
        <w:rPr>
          <w:b/>
          <w:bCs/>
          <w:lang w:val="el" w:eastAsia="el"/>
        </w:rPr>
        <w:t>Δ/νση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Egatzonas@bankofgreece.gr" TargetMode="External" /><Relationship Id="rId6" Type="http://schemas.openxmlformats.org/officeDocument/2006/relationships/hyperlink" Target="mailto:diasbo@dias.com.gr" TargetMode="External" /><Relationship Id="rId7" Type="http://schemas.openxmlformats.org/officeDocument/2006/relationships/hyperlink" Target="mailto:etheas.greece@gmail.com" TargetMode="External" /><Relationship Id="rId8" Type="http://schemas.openxmlformats.org/officeDocument/2006/relationships/hyperlink" Target="mailto:popek@popek.gr" TargetMode="External" /><Relationship Id="rId9" Type="http://schemas.openxmlformats.org/officeDocument/2006/relationships/hyperlink" Target="mailto:info@ob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