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Ρ6ΦΓ46ΜΠ3Ζ-Ο27</w:t>
      </w:r>
    </w:p>
    <w:p>
      <w:pPr>
        <w:pStyle w:val="PreambelText"/>
        <w:spacing w:before="240" w:after="240"/>
        <w:rPr>
          <w:lang w:val="el" w:eastAsia="el"/>
        </w:rPr>
      </w:pPr>
      <w:r>
        <w:rPr>
          <w:b/>
          <w:bCs/>
          <w:lang w:val="el" w:eastAsia="el"/>
        </w:rPr>
        <w:t>Αθήνα, 29/01/2025</w:t>
      </w:r>
    </w:p>
    <w:p>
      <w:pPr>
        <w:pStyle w:val="PreambelText"/>
        <w:spacing w:before="240" w:after="240"/>
        <w:rPr>
          <w:lang w:val="el" w:eastAsia="el"/>
        </w:rPr>
      </w:pPr>
      <w:r>
        <w:rPr>
          <w:b/>
          <w:bCs/>
          <w:lang w:val="el" w:eastAsia="el"/>
        </w:rPr>
        <w:t>Αριθ. Πρωτ.: Ε. 2003</w:t>
      </w:r>
    </w:p>
    <w:p>
      <w:pPr>
        <w:pStyle w:val="PreambelText"/>
        <w:spacing w:before="240" w:after="240"/>
        <w:rPr>
          <w:lang w:val="el" w:eastAsia="el"/>
        </w:rPr>
      </w:pPr>
      <w:r>
        <w:rPr>
          <w:b/>
          <w:bCs/>
          <w:lang w:val="el" w:eastAsia="el"/>
        </w:rPr>
        <w:t>Α. ΓΕΝΙΚΗ ΔΙΕΥΘΥΝΣΗ ΤΕΛΩΝΕΙΩΝ &amp; Ε.Φ.Κ.</w:t>
      </w:r>
    </w:p>
    <w:p>
      <w:pPr>
        <w:pStyle w:val="PreambelText"/>
        <w:spacing w:before="240" w:after="240"/>
        <w:rPr>
          <w:lang w:val="el" w:eastAsia="el"/>
        </w:rPr>
      </w:pPr>
      <w:r>
        <w:rPr>
          <w:b/>
          <w:bCs/>
          <w:lang w:val="el" w:eastAsia="el"/>
        </w:rPr>
        <w:t>ΔΙΕΥΘΥΝΣΗ ΔΑΣΜΟΛΟΓΙΚΩΝ ΘΕΜΑΤΩΝ, ΕΙΔΙΚΩΝ ΚΑΘΕΣΤΩΤΩΝ &amp;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ΠΡΟΣ: 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4"/>
        <w:gridCol w:w="2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 Παπασπύρου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Α.Καρανικόλα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2131410709,710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 xml:space="preserve">ddtheka </w:t>
              </w:r>
              <w:r>
                <w:rPr>
                  <w:rStyle w:val="Hyperlink"/>
                  <w:b/>
                  <w:bCs/>
                  <w:i w:val="0"/>
                  <w:iCs w:val="0"/>
                  <w:smallCaps w:val="0"/>
                  <w:color w:val="0000EE"/>
                  <w:u w:color="0000EE"/>
                  <w:lang w:val="el" w:eastAsia="el"/>
                </w:rPr>
                <w:t xml:space="preserve">@ </w:t>
              </w:r>
              <w:r>
                <w:rPr>
                  <w:rStyle w:val="Hyperlink"/>
                  <w:b/>
                  <w:bCs/>
                  <w:i w:val="0"/>
                  <w:iCs w:val="0"/>
                  <w:smallCaps w:val="0"/>
                  <w:color w:val="0000EE"/>
                  <w:u w:color="0000EE"/>
                  <w:lang w:val="el" w:eastAsia="el"/>
                </w:rPr>
                <w:t>aade .gr</w:t>
              </w:r>
            </w:hyperlink>
          </w:p>
        </w:tc>
      </w:tr>
    </w:tbl>
    <w:p>
      <w:pPr>
        <w:spacing w:before="240" w:after="240"/>
        <w:rPr>
          <w:lang w:val="el" w:eastAsia="el"/>
        </w:rPr>
      </w:pPr>
      <w:r>
        <w:rPr>
          <w:b/>
          <w:bCs/>
          <w:lang w:val="el" w:eastAsia="el"/>
        </w:rPr>
        <w:t>Β. ΓΕΝΙΚΗ Δ/ΝΣΗ ΗΛΕΚΤΡΟΝΙΚΗΣ ΔΙΑΚΥΒΕΡΝΗΣΗΣ</w:t>
      </w:r>
    </w:p>
    <w:p>
      <w:pPr>
        <w:pStyle w:val="StructureList1"/>
        <w:spacing w:before="120" w:after="0"/>
        <w:rPr>
          <w:lang w:val="el" w:eastAsia="el"/>
        </w:rPr>
      </w:pPr>
      <w:r>
        <w:rPr>
          <w:lang w:val="el" w:eastAsia="el"/>
        </w:rPr>
        <w:t>i)</w:t>
      </w:r>
      <w:r>
        <w:rPr>
          <w:lang w:val="en" w:eastAsia="en"/>
        </w:rPr>
        <w:tab/>
      </w:r>
      <w:r>
        <w:rPr>
          <w:b/>
          <w:bCs/>
          <w:lang w:val="el" w:eastAsia="el"/>
        </w:rPr>
        <w:t>Δ/ΝΣΗ ΕΠΙΧΕΙΡΗΣΙΑΚΩΝ ΔΙΑΔΙΚΑΣΙΩΝ</w:t>
      </w:r>
    </w:p>
    <w:p>
      <w:pPr>
        <w:spacing w:before="240" w:after="240"/>
        <w:rPr>
          <w:lang w:val="el" w:eastAsia="el"/>
        </w:rPr>
      </w:pPr>
      <w:r>
        <w:rPr>
          <w:b/>
          <w:bCs/>
          <w:lang w:val="el" w:eastAsia="el"/>
        </w:rPr>
        <w:t>ΥΠΟΔΙΕΥΘΥΝΣΗ Β’- ΑΠΑΙΤΗΣΕΩΝ ΚΑΙ ΕΛΕΓΧΟΥ ΕΦΑΡΜΟΓΩΝ ΤΕΛΩΝΕΙΩΝ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Ζ Ταχ. Δ/νση Ταχ. Κώδ.</w:t>
      </w:r>
    </w:p>
    <w:p>
      <w:pPr>
        <w:spacing w:before="240" w:after="240"/>
        <w:rPr>
          <w:lang w:val="el" w:eastAsia="el"/>
        </w:rPr>
      </w:pPr>
      <w:r>
        <w:rPr>
          <w:b/>
          <w:bCs/>
          <w:lang w:val="el" w:eastAsia="el"/>
        </w:rPr>
        <w:t>Πληροφορίες Τηλέφωνο e-mail</w:t>
      </w:r>
    </w:p>
    <w:p>
      <w:pPr>
        <w:spacing w:before="240" w:after="240"/>
        <w:rPr>
          <w:lang w:val="el" w:eastAsia="el"/>
        </w:rPr>
      </w:pPr>
      <w:r>
        <w:rPr>
          <w:b/>
          <w:bCs/>
          <w:lang w:val="el" w:eastAsia="el"/>
        </w:rPr>
        <w:t>: Πειραιώς 72 &amp; Πύργου</w:t>
      </w:r>
    </w:p>
    <w:p>
      <w:pPr>
        <w:spacing w:before="240" w:after="240"/>
        <w:rPr>
          <w:lang w:val="el" w:eastAsia="el"/>
        </w:rPr>
      </w:pPr>
      <w:r>
        <w:rPr>
          <w:b/>
          <w:bCs/>
          <w:lang w:val="el" w:eastAsia="el"/>
        </w:rPr>
        <w:t>: 183 46 Μοσχάτο</w:t>
      </w:r>
    </w:p>
    <w:p>
      <w:pPr>
        <w:spacing w:before="240" w:after="240"/>
        <w:rPr>
          <w:lang w:val="el" w:eastAsia="el"/>
        </w:rPr>
      </w:pPr>
      <w:r>
        <w:rPr>
          <w:b/>
          <w:bCs/>
          <w:lang w:val="el" w:eastAsia="el"/>
        </w:rPr>
        <w:t>: 2131356745</w:t>
      </w:r>
    </w:p>
    <w:p>
      <w:pPr>
        <w:spacing w:before="240" w:after="240"/>
        <w:rPr>
          <w:lang w:val="el" w:eastAsia="el"/>
        </w:rPr>
      </w:pPr>
      <w:r>
        <w:rPr>
          <w:b/>
          <w:bCs/>
          <w:lang w:val="el" w:eastAsia="el"/>
        </w:rPr>
        <w:t>:</w:t>
      </w:r>
      <w:hyperlink r:id="rId5" w:history="1">
        <w:r>
          <w:rPr>
            <w:rStyle w:val="Hyperlink"/>
            <w:b/>
            <w:bCs/>
            <w:color w:val="0000EE"/>
            <w:u w:color="0000EE"/>
            <w:lang w:val="el" w:eastAsia="el"/>
          </w:rPr>
          <w:t>secr_icis@aade.gr</w:t>
        </w:r>
      </w:hyperlink>
    </w:p>
    <w:p>
      <w:pPr>
        <w:pStyle w:val="StructureList1"/>
        <w:spacing w:before="120" w:after="0"/>
        <w:rPr>
          <w:lang w:val="el" w:eastAsia="el"/>
        </w:rPr>
      </w:pPr>
      <w:r>
        <w:rPr>
          <w:b/>
          <w:bCs/>
          <w:lang w:val="el" w:eastAsia="el"/>
        </w:rPr>
        <w:t>ii)</w:t>
      </w:r>
      <w:r>
        <w:rPr>
          <w:b/>
          <w:bCs/>
          <w:lang w:val="en" w:eastAsia="en"/>
        </w:rPr>
        <w:tab/>
      </w:r>
      <w:r>
        <w:rPr>
          <w:b/>
          <w:bCs/>
          <w:lang w:val="el" w:eastAsia="el"/>
        </w:rPr>
        <w:t>Δ/ΝΣΗ ΑΝΑΠΤΥΞΗΣ ΤΕΛΩΝΕΙΑΚΩΝ, ΕΛΕΓΚΤΙΚΩΝ, ΕΠΙΧΕΙΡΗΣΙΑΚΩΝ ΕΦΑΡΜΟΓΩΝ</w:t>
      </w:r>
    </w:p>
    <w:p>
      <w:pPr>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 Ταχ. Δ/νση Ταχ. Κώδ.</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e-mail</w:t>
      </w:r>
    </w:p>
    <w:p>
      <w:pPr>
        <w:spacing w:before="240" w:after="240"/>
        <w:rPr>
          <w:lang w:val="el" w:eastAsia="el"/>
        </w:rPr>
      </w:pPr>
      <w:r>
        <w:rPr>
          <w:b/>
          <w:bCs/>
          <w:lang w:val="el" w:eastAsia="el"/>
        </w:rPr>
        <w:t>: Πειραιώς 72 &amp; Πύργου</w:t>
      </w:r>
    </w:p>
    <w:p>
      <w:pPr>
        <w:spacing w:before="240" w:after="240"/>
        <w:rPr>
          <w:lang w:val="el" w:eastAsia="el"/>
        </w:rPr>
      </w:pPr>
      <w:r>
        <w:rPr>
          <w:b/>
          <w:bCs/>
          <w:lang w:val="el" w:eastAsia="el"/>
        </w:rPr>
        <w:t>: 183 46 Μοσχάτο</w:t>
      </w:r>
    </w:p>
    <w:p>
      <w:pPr>
        <w:spacing w:before="240" w:after="240"/>
        <w:rPr>
          <w:lang w:val="el" w:eastAsia="el"/>
        </w:rPr>
      </w:pPr>
      <w:r>
        <w:rPr>
          <w:b/>
          <w:bCs/>
          <w:lang w:val="el" w:eastAsia="el"/>
        </w:rPr>
        <w:t>: Σ. Ρεπούσης</w:t>
      </w:r>
    </w:p>
    <w:p>
      <w:pPr>
        <w:spacing w:before="240" w:after="240"/>
        <w:rPr>
          <w:lang w:val="el" w:eastAsia="el"/>
        </w:rPr>
      </w:pPr>
      <w:r>
        <w:rPr>
          <w:b/>
          <w:bCs/>
          <w:lang w:val="el" w:eastAsia="el"/>
        </w:rPr>
        <w:t>: 2131356361</w:t>
      </w:r>
    </w:p>
    <w:p>
      <w:pPr>
        <w:spacing w:before="240" w:after="240"/>
        <w:rPr>
          <w:lang w:val="el" w:eastAsia="el"/>
        </w:rPr>
      </w:pPr>
      <w:r>
        <w:rPr>
          <w:b/>
          <w:bCs/>
          <w:lang w:val="el" w:eastAsia="el"/>
        </w:rPr>
        <w:t xml:space="preserve">: </w:t>
      </w:r>
      <w:hyperlink r:id="rId6" w:history="1">
        <w:r>
          <w:rPr>
            <w:rStyle w:val="Hyperlink"/>
            <w:b/>
            <w:bCs/>
            <w:color w:val="0000EE"/>
            <w:u w:color="0000EE"/>
            <w:lang w:val="el" w:eastAsia="el"/>
          </w:rPr>
          <w:t>date@aade.gr</w:t>
        </w:r>
      </w:hyperlink>
    </w:p>
    <w:p>
      <w:pPr>
        <w:spacing w:before="240" w:after="240"/>
        <w:rPr>
          <w:lang w:val="el" w:eastAsia="el"/>
        </w:rPr>
      </w:pPr>
      <w:r>
        <w:rPr>
          <w:b/>
          <w:bCs/>
          <w:lang w:val="el" w:eastAsia="el"/>
        </w:rPr>
        <w:t>Θέμα: Παροχή οδηγιών σχετικά με τη διάθεση του λογισμικού της Υπολογιστικής μονάδας του ολοκληρωμένου συστήματος παρακολούθησης και ηλεκτρονικής αποστολής δεδομένων εισροών-εκροών στα πλωτά εφοδιαστικά- μεταφορικά μέσα ναυτιλιακού καυσίμου.</w:t>
      </w:r>
    </w:p>
    <w:p>
      <w:pPr>
        <w:spacing w:before="240" w:after="240"/>
        <w:rPr>
          <w:lang w:val="el" w:eastAsia="el"/>
        </w:rPr>
      </w:pPr>
      <w:r>
        <w:rPr>
          <w:b/>
          <w:bCs/>
          <w:lang w:val="el" w:eastAsia="el"/>
        </w:rPr>
        <w:t>Σχετ: α) Η αρ. Α. 1191/20.12.2024 (Β’ 7251) απόφαση του Υφυπουργού Εθνικής Οικονομίας &amp; Οικονομικών, της Υφυπουργού Ανάπτυξης, των Υπουργών Ναυτιλίας &amp; Νησιωτικής Πολιτικής, Ψηφιακής Διακυβέρνησης και του Διοικητή της ΑΑΔΕ με θέμα «Διαδικασίες, τεχνικές προδιαγραφές, όροι και προϋποθέσεις εγκατάστασης του ολοκληρωμένου συστήματος παρακολούθησης εισροών-εκροών στα πλωτά εφοδιαστικά- μεταφορικά μέσα ναυτιλιακού καυσίμου, αποστολής δεδομένων στο Πληροφοριακό</w:t>
      </w:r>
    </w:p>
    <w:p>
      <w:pPr>
        <w:spacing w:before="240" w:after="240"/>
        <w:rPr>
          <w:lang w:val="el" w:eastAsia="el"/>
        </w:rPr>
      </w:pPr>
      <w:r>
        <w:rPr>
          <w:b/>
          <w:bCs/>
          <w:lang w:val="el" w:eastAsia="el"/>
        </w:rPr>
        <w:t>Σύστημα Παρακολούθησης Εισροών Εκροών και Λήψης Σημάτων της ΑΑΔΕ και άντληση δεδομένων από το Ηλεκτρονικό σύστημα γεωγραφικού εντοπισμού των πλωτών εφοδιαστικών-μεταφορικών μέσων»</w:t>
      </w:r>
    </w:p>
    <w:p>
      <w:pPr>
        <w:pStyle w:val="StructureList1"/>
        <w:spacing w:before="120" w:after="0"/>
        <w:rPr>
          <w:lang w:val="el" w:eastAsia="el"/>
        </w:rPr>
      </w:pPr>
      <w:r>
        <w:rPr>
          <w:b/>
          <w:bCs/>
          <w:lang w:val="el" w:eastAsia="el"/>
        </w:rPr>
        <w:t>β)</w:t>
      </w:r>
      <w:r>
        <w:rPr>
          <w:b/>
          <w:bCs/>
          <w:lang w:val="en" w:eastAsia="en"/>
        </w:rPr>
        <w:tab/>
      </w:r>
      <w:r>
        <w:rPr>
          <w:b/>
          <w:bCs/>
          <w:lang w:val="el" w:eastAsia="el"/>
        </w:rPr>
        <w:t>Η αρ. Α.1079/14.05.2024 (Β 2816) απόφαση του Υφυπουργού Εθνικής Οικονομίας &amp; Οικονομικών, της Υφυπουργού Ανάπτυξης, των Υπουργών Ναυτιλίας &amp; Νησιωτικής Πολιτικής, Ψηφιακής Διακυβέρνησης και του Διοικητή της ΑΑΔΕ με θέμα «Καθορισμός όρων, προϋποθέσεων, διαδικασίας ηλεκτρονικής απογραφής των δεξαμενών των πλωτών μέσων καθώς και λοιπών πληροφοριών που αφορούν στα πλωτά μέσα στο Μητρώο Δεξαμενών Ενεργειακών Προϊόντων Πλωτών Μέσων της Ανεξάρτητης Αρχής Δημοσίων Εσόδων, εξειδίκευση των παραβάσεων των υπόχρεων εγγραφής στο Μητρώο και καθορισμός του ποσού των διοικητικών προστίμων, της διαδικασίας και των αρμόδιων αρχών επιβολής τους».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οδηγιών σχετικά με τη διάθεση του λογισμικού της Υπολογιστικής μονάδας του ολοκληρωμένου συστήματος παρακολούθησης και ηλεκτρονικής αποστολής δεδομένων εισροών-εκροών στα πλωτά εφοδιαστικά- μεταφορικά μέσα ναυτιλιακού καυσίμου.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καθορίζεται ο τρόπος διάθεσης του λογισμικού από την ΑΑΔΕ στα υπόχρεα πρόσωπα, το οποίο θα πρέπει να εγκατασταθεί στην υπολογιστική μονάδα του πλωτού εφοδιαστικού-μεταφορικού μέσου για τη συγκέντρωση και ηλεκτρονική αποστολή δεδομένων στο Κέντρο Λήψης Σημάτων της ΑΑΔΕ και κοινοποιείται η συγκεκριμένη διαδρομή στην Ψηφιακή πύλη myAADE όπου θα είναι διαθέσιμο το λογισμικό προς εγκατάσταση.</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πεδίο εφαρμογής αφορά:</w:t>
      </w:r>
    </w:p>
    <w:p>
      <w:pPr>
        <w:spacing w:before="240" w:after="240"/>
        <w:rPr>
          <w:lang w:val="el" w:eastAsia="el"/>
        </w:rPr>
      </w:pPr>
      <w:r>
        <w:rPr>
          <w:b/>
          <w:bCs/>
          <w:lang w:val="el" w:eastAsia="el"/>
        </w:rPr>
        <w:t>α. τον πλοιοκτήτη ή εφοπλιστή ή διαχειριστή, για τη μέριμνα, την ευθύνη και τη δαπάνη της προμήθειας της Υπολογιστικής Μονάδας και της εγκατάστασης του λογισμικού το οποίο διατίθεται από την ΑΑΔΕ στην εν λόγω υπολογιστική μονάδα</w:t>
      </w:r>
    </w:p>
    <w:p>
      <w:pPr>
        <w:spacing w:before="240" w:after="240"/>
        <w:rPr>
          <w:lang w:val="el" w:eastAsia="el"/>
        </w:rPr>
      </w:pPr>
      <w:r>
        <w:rPr>
          <w:b/>
          <w:bCs/>
          <w:lang w:val="el" w:eastAsia="el"/>
        </w:rPr>
        <w:t>β. τον πλοίαρχο, για την έκδοση βεβαιώσεων αρχικής εγκατάστασης και καλής λειτουργίας της υπολογιστικής μονάδας και του λογισμικού και βεβαίωση καλής λειτουργίας</w:t>
      </w:r>
    </w:p>
    <w:p>
      <w:pPr>
        <w:spacing w:before="240" w:after="240"/>
        <w:rPr>
          <w:lang w:val="el" w:eastAsia="el"/>
        </w:rPr>
      </w:pPr>
      <w:r>
        <w:rPr>
          <w:b/>
          <w:bCs/>
          <w:lang w:val="el" w:eastAsia="el"/>
        </w:rPr>
        <w:t>β. τον υπεύθυνο εγκατάστασης και καλής λειτουργίας της Υπολογιστικής Μονάδας</w:t>
      </w:r>
    </w:p>
    <w:p>
      <w:pPr>
        <w:spacing w:before="240" w:after="240"/>
        <w:rPr>
          <w:lang w:val="el" w:eastAsia="el"/>
        </w:rPr>
      </w:pPr>
      <w:r>
        <w:rPr>
          <w:b/>
          <w:bCs/>
          <w:lang w:val="el" w:eastAsia="el"/>
        </w:rPr>
        <w:t>γ. τις αρμόδιες Τελωνειακές Αρχές</w:t>
      </w:r>
    </w:p>
    <w:p>
      <w:pPr>
        <w:spacing w:before="240" w:after="240"/>
        <w:rPr>
          <w:lang w:val="el" w:eastAsia="el"/>
        </w:rPr>
      </w:pPr>
      <w:r>
        <w:rPr>
          <w:b/>
          <w:bCs/>
          <w:lang w:val="el" w:eastAsia="el"/>
        </w:rPr>
        <w:t>Στο πλαίσιο της καταπολέμησης του λαθρεμπορίου στα ενεργειακά προϊόντα εκδόθηκε η ανωτέρω α) σχετική Κοινή Υπουργική Απόφαση του Υφυπουργού Εθνικής Οικονομίας &amp; Οικονομικών, της Υφυπουργού Ανάπτυξης, των Υπουργών Ναυτιλίας &amp; Νησιωτικής Πολιτικής, Ψηφιακής Διακυβέρνησης και του Διοικητή της ΑΑΔΕ (εφεξής «η ΚΥΑ») με στόχο τον καθορισμό των διαδικασιών, τεχνικών προδιαγραφών, όρων και προϋποθέσεων εγκατάστασης του ολοκληρωμένου συστήματος παρακολούθησης εισροών-εκροών στα πλωτά εφοδιαστικά- μεταφορικά μέσα ναυτιλιακού καυσίμου, αποστολής δεδομένων στο Πληροφοριακό Σύστημα Παρακολούθησης Εισροών Εκροών και Λήψης Σημάτων της ΑΑΔΕ και άντλησης από το Κέντρο Λήψης Σημάτων της ΑΑΔΕ δεδομένων του Ηλεκτρονικού συστήματος γεωγραφικού εντοπισμού των πλωτών μέσων (AIS).</w:t>
      </w:r>
    </w:p>
    <w:p>
      <w:pPr>
        <w:spacing w:before="240" w:after="240"/>
        <w:rPr>
          <w:lang w:val="el" w:eastAsia="el"/>
        </w:rPr>
      </w:pPr>
      <w:r>
        <w:rPr>
          <w:b/>
          <w:bCs/>
          <w:lang w:val="el" w:eastAsia="el"/>
        </w:rPr>
        <w:t xml:space="preserve">1. </w:t>
      </w:r>
      <w:r>
        <w:rPr>
          <w:b/>
          <w:bCs/>
          <w:lang w:val="el" w:eastAsia="el"/>
        </w:rPr>
        <w:t>Ειδικότερα, στα πλωτά εφοδιαστικά - μεταφορικά μέσα ναυτιλιακού καυσίμου, στα οποία έχουν εγκατασταθεί πιστοποιημένα μετρητικά συστήματα εισροών – εκροών (κλειστά συστήματα τύπου Coriolis), τα οποία εξάγουν μετρητικά δεδομένα (tickets) προβλέπεται με το άρθρο 7 της ΚΥΑ η εγκατάσταση υπολογιστικής μονάδας, η οποία θα φέρει λογισμικό για τη συγκέντρωση και ηλεκτρονική αποστολή δεδομένων εισροών-εκροών προς το Κέντρο Λήψης Σημάτων της ΑΑΔΕ καθώς και οι προδιαγραφές της υπολογιστικής μονάδας και του λογισμικού. Το συγκεκριμένο λογισμικό διαχείρισης δεδομένων της Υπολογιστικής Μονάδας, το οποίο παρέχεται από την ΑΑΔΕ, θα πρέπει να εγκατασταθεί στην υπολογιστική μονάδα του πλωτού εφοδιαστικού-μεταφορικού μέσου για τη συγκέντρωση και ηλεκτρονική αποστολή δεδομένων στο Κέντρο Λήψης Σημάτων της ΑΑΔΕ με μέριμνα, ευθύνη και δαπάνη του πλοιοκτήτη ή εφοπλιστή ή διαχειριστή, να διαλειτουργεί με το σύστημα μέτρησης εισροών – εκροών και να συγκεντρώνει, αποθηκεύει και αποστέλλει σε κατάλληλο μορφότυπο τα δεδομένα στο Κέντρο Λήψης Σημάτων της ΑΑΔΕ.</w:t>
      </w:r>
    </w:p>
    <w:p>
      <w:pPr>
        <w:spacing w:before="240" w:after="240"/>
        <w:rPr>
          <w:lang w:val="el" w:eastAsia="el"/>
        </w:rPr>
      </w:pPr>
      <w:r>
        <w:rPr>
          <w:b/>
          <w:bCs/>
          <w:lang w:val="el" w:eastAsia="el"/>
        </w:rPr>
        <w:t xml:space="preserve">2. </w:t>
      </w:r>
      <w:r>
        <w:rPr>
          <w:b/>
          <w:bCs/>
          <w:lang w:val="el" w:eastAsia="el"/>
        </w:rPr>
        <w:t>Σύμφωνα με τις προβλέψεις των παραγράφων 1, 3, 4 και 5 του άρθρου 12 της ΚΥΑ, προβλέπονται τα χρονοδιαγράμματα:</w:t>
      </w:r>
    </w:p>
    <w:p>
      <w:pPr>
        <w:pStyle w:val="StructureList1"/>
        <w:spacing w:before="120" w:after="0"/>
        <w:rPr>
          <w:lang w:val="el" w:eastAsia="el"/>
        </w:rPr>
      </w:pPr>
      <w:r>
        <w:rPr>
          <w:b/>
          <w:bCs/>
          <w:lang w:val="el" w:eastAsia="el"/>
        </w:rPr>
        <w:t>α)</w:t>
      </w:r>
      <w:r>
        <w:rPr>
          <w:b/>
          <w:bCs/>
          <w:lang w:val="en" w:eastAsia="en"/>
        </w:rPr>
        <w:tab/>
      </w:r>
      <w:r>
        <w:rPr>
          <w:b/>
          <w:bCs/>
          <w:lang w:val="el" w:eastAsia="el"/>
        </w:rPr>
        <w:t>Ημερομηνία διαθεσιμότητας του λογισμικού της Υπολογιστικής μονάδας ορίζεται η 30</w:t>
      </w:r>
      <w:r>
        <w:rPr>
          <w:b/>
          <w:bCs/>
          <w:sz w:val="30"/>
          <w:szCs w:val="30"/>
          <w:vertAlign w:val="superscript"/>
          <w:lang w:val="el" w:eastAsia="el"/>
        </w:rPr>
        <w:t>ή</w:t>
      </w:r>
      <w:r>
        <w:rPr>
          <w:b/>
          <w:bCs/>
          <w:lang w:val="el" w:eastAsia="el"/>
        </w:rPr>
        <w:t>/01/2025.</w:t>
      </w:r>
    </w:p>
    <w:p>
      <w:pPr>
        <w:pStyle w:val="StructureList1"/>
        <w:spacing w:before="120" w:after="0"/>
        <w:rPr>
          <w:lang w:val="el" w:eastAsia="el"/>
        </w:rPr>
      </w:pPr>
      <w:r>
        <w:rPr>
          <w:b/>
          <w:bCs/>
          <w:lang w:val="el" w:eastAsia="el"/>
        </w:rPr>
        <w:t>β)</w:t>
      </w:r>
      <w:r>
        <w:rPr>
          <w:b/>
          <w:bCs/>
          <w:lang w:val="en" w:eastAsia="en"/>
        </w:rPr>
        <w:tab/>
      </w:r>
      <w:r>
        <w:rPr>
          <w:b/>
          <w:bCs/>
          <w:lang w:val="el" w:eastAsia="el"/>
        </w:rPr>
        <w:t>Εντός δύο (2) μηνών από την ανωτέρω ημερομηνία, τα υπόχρεα πρόσωπα οφείλουν να μεριμνήσουν για την εγκατάσταση του λογισμικού στην Υπολογιστική Μονάδα του πλωτού εφοδιαστικού-μεταφορικού μέσου, ήτοι από 31/01/2025 έως 31/03/2025.</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ημερομηνία εγκατάστασης του λογισμικού έως 30/04/2025, τα υπόχρεα πρόσωπα αποστέλλουν πιλοτικά τα μετρητικά δεδομένα του συστήματος εισροών-εκροών καθώς και τα δεδομένα της εφαρμογής υποβολής στοιχείων εφοδιασμού/διακίνησης καυσίμου στο Κέντρο Λήψης Σημάτων της ΑΑΔΕ.</w:t>
      </w:r>
    </w:p>
    <w:p>
      <w:pPr>
        <w:pStyle w:val="StructureList1"/>
        <w:spacing w:before="120" w:after="0"/>
        <w:rPr>
          <w:lang w:val="el" w:eastAsia="el"/>
        </w:rPr>
      </w:pPr>
      <w:r>
        <w:rPr>
          <w:b/>
          <w:bCs/>
          <w:lang w:val="el" w:eastAsia="el"/>
        </w:rPr>
        <w:t>δ)</w:t>
      </w:r>
      <w:r>
        <w:rPr>
          <w:b/>
          <w:bCs/>
          <w:lang w:val="en" w:eastAsia="en"/>
        </w:rPr>
        <w:tab/>
      </w:r>
      <w:r>
        <w:rPr>
          <w:b/>
          <w:bCs/>
          <w:lang w:val="el" w:eastAsia="el"/>
        </w:rPr>
        <w:t>Μετά το πέρας του εν λόγω χρονικού διαστήματος ήτοι από 01/05/2025 το ολοκληρωμένο σύστημα εισροών εκροών τίθεται σε παραγωγική λειτουργία και επιβάλλονται κυρώσεις σε περίπτωση διαπίστωσης παρατυπίας.</w:t>
      </w:r>
    </w:p>
    <w:p>
      <w:pPr>
        <w:spacing w:before="240" w:after="240"/>
        <w:rPr>
          <w:lang w:val="el" w:eastAsia="el"/>
        </w:rPr>
      </w:pPr>
      <w:r>
        <w:rPr>
          <w:b/>
          <w:bCs/>
          <w:lang w:val="el" w:eastAsia="el"/>
        </w:rPr>
        <w:t xml:space="preserve">3. </w:t>
      </w:r>
      <w:r>
        <w:rPr>
          <w:b/>
          <w:bCs/>
          <w:lang w:val="el" w:eastAsia="el"/>
        </w:rPr>
        <w:t>Με την παρούσα και σε εφαρμογή της παραγράφου 2 του άρθρου 12 της ΚΥΑ, ορίζεται ότι το λογισμικό της Υπολογιστικής μονάδας θα διατίθεται από την ΑΑΔΕ από 30/01/2025 στους υπεύθυνους εγκαταστάτες της υπολογιστικής μονάδας.</w:t>
      </w:r>
    </w:p>
    <w:p>
      <w:pPr>
        <w:spacing w:before="240" w:after="240"/>
        <w:rPr>
          <w:lang w:val="el" w:eastAsia="el"/>
        </w:rPr>
      </w:pPr>
      <w:r>
        <w:rPr>
          <w:b/>
          <w:bCs/>
          <w:lang w:val="el" w:eastAsia="el"/>
        </w:rPr>
        <w:t>Αναλυτικές οδηγίες για τον τρόπο διάθεσης και εγκατάστασης του λογισμικού θα είναι διαθέσιμες από την προαναφερόμενη ημερομηνία στην Ψηφιακή πύλη myAADE, στη διαδρομή: Εφαρμογές =&gt; Τελωνειακές Υπηρεσίες ή Φορολογικές Υπηρεσίες =&gt; Σύστημα εισροών - εκροών καυσίμων =&gt; Δεξαμενές ενεργειακών προϊόντων πλωτών μέσων.</w:t>
      </w:r>
    </w:p>
    <w:p>
      <w:pPr>
        <w:spacing w:before="240" w:after="240"/>
        <w:rPr>
          <w:lang w:val="el" w:eastAsia="el"/>
        </w:rPr>
      </w:pPr>
      <w:r>
        <w:rPr>
          <w:b/>
          <w:bCs/>
          <w:lang w:val="el" w:eastAsia="el"/>
        </w:rPr>
        <w:t>Προϋπόθεση για διάθεση της εφαρμογής σε εγκαταστάτη είναι είτε η εγγραφή του στο Μητρώο Δεξαμενών Ενεργειακών Προϊόντων Πλωτών Μέσων της Ανεξάρτητης Αρχής Δημοσίων Εσόδων είτε η εξουσιοδότησή του από τον πλοιοκτήτη ή εφοπλιστή ή διαχειριστή που έχει ήδη απογραφεί σε αυτό.</w:t>
      </w:r>
    </w:p>
    <w:p>
      <w:pPr>
        <w:spacing w:before="240" w:after="240"/>
        <w:rPr>
          <w:lang w:val="el" w:eastAsia="el"/>
        </w:rPr>
      </w:pPr>
      <w:r>
        <w:rPr>
          <w:b/>
          <w:bCs/>
          <w:lang w:val="el" w:eastAsia="el"/>
        </w:rPr>
        <w:t>Υπενθυμίζεται ότι σύμφωνα με τις προβλέψεις του άρθρου 6 της ανωτέρω β) σχετικής ΚΥΑ, οφείλουν να καταχωρηθούν τα κάτωθι στοιχεία στο εν λόγω Μητρώο Δεξαμενών από τα υπόχρεα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Ο Υπεύθυνος εγκατάστασης ή/και καλής λειτουργίας της Υπολογιστικής Μονάδας συγκέντρωσης και ηλεκτρονικής αποστολής δεδομένων: θα πρέπει να καταχωρίσει τα στοιχεία του στο μητρώο Δεξαμενών εντός ενός (1) μηνός από την απόκτηση της συμβατικής του ιδιότητας,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Ο πλοιοκτήτης ή εφοπλιστής ή διαχειριστής θα πρέπει να καταχωρίσει τα στοιχεία της υπολογιστικής μονάδας στο μητρώο Δεξαμενών εντός ενός (1) μηνός από την εγκατάσταση της υπολογιστικής μονάδας στο πλωτό μέσο.</w:t>
      </w:r>
    </w:p>
    <w:p>
      <w:pPr>
        <w:spacing w:before="240" w:after="240"/>
        <w:rPr>
          <w:lang w:val="el" w:eastAsia="el"/>
        </w:rPr>
      </w:pPr>
      <w:r>
        <w:rPr>
          <w:b/>
          <w:bCs/>
          <w:lang w:val="el" w:eastAsia="el"/>
        </w:rPr>
        <w:t xml:space="preserve">Για τυχόν τεχνικά προβλήματα που θα αντιμετωπίσουν τα ως άνω πρόσωπα, μπορούν να επικοινωνούν με την αρμόδια υπηρεσία της ΑΑΔΕ, στη διεύθυνση ηλεκτρονικού ταχυδρομείου </w:t>
      </w:r>
      <w:hyperlink r:id="rId7" w:history="1">
        <w:r>
          <w:rPr>
            <w:rStyle w:val="Hyperlink"/>
            <w:b/>
            <w:bCs/>
            <w:color w:val="0000EE"/>
            <w:u w:color="0000EE"/>
            <w:lang w:val="el" w:eastAsia="el"/>
          </w:rPr>
          <w:t>fueltank@ aade .g</w:t>
        </w:r>
      </w:hyperlink>
      <w:r>
        <w:rPr>
          <w:b/>
          <w:bCs/>
          <w:lang w:val="el" w:eastAsia="el"/>
        </w:rPr>
        <w:t>.</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Τελωνειακές Περιφέρειες (για ενημέρωση των τελωνείων της αρμοδιότητάς τους)</w:t>
      </w:r>
    </w:p>
    <w:p>
      <w:pPr>
        <w:spacing w:before="240" w:after="240"/>
        <w:rPr>
          <w:lang w:val="el" w:eastAsia="el"/>
        </w:rPr>
      </w:pPr>
      <w:r>
        <w:rPr>
          <w:b/>
          <w:bCs/>
          <w:lang w:val="el" w:eastAsia="el"/>
        </w:rPr>
        <w:t xml:space="preserve">2. </w:t>
      </w:r>
      <w:r>
        <w:rPr>
          <w:b/>
          <w:bCs/>
          <w:lang w:val="el" w:eastAsia="el"/>
        </w:rPr>
        <w:t>ΕΥΤΕ</w:t>
      </w:r>
    </w:p>
    <w:p>
      <w:pPr>
        <w:spacing w:before="240" w:after="240"/>
        <w:rPr>
          <w:lang w:val="el" w:eastAsia="el"/>
        </w:rPr>
      </w:pPr>
      <w:r>
        <w:rPr>
          <w:b/>
          <w:bCs/>
          <w:lang w:val="el" w:eastAsia="el"/>
        </w:rPr>
        <w:t xml:space="preserve">3. </w:t>
      </w:r>
      <w:r>
        <w:rPr>
          <w:b/>
          <w:bCs/>
          <w:lang w:val="el" w:eastAsia="el"/>
        </w:rPr>
        <w:t>ΕΛΥΤ Αττικής και Θεσσαλονίκης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(ΔΙ.Σ.ΤΕ.ΠΛ.), (με την παράκληση να αναρτηθεί: α) στην ιστοσελίδα της ΑΑΔΕ, β) στην Ηλεκτρονική Βιβλιοθήκη της ΑΑΔΕ)</w:t>
      </w:r>
    </w:p>
    <w:p>
      <w:pPr>
        <w:spacing w:before="240" w:after="240"/>
        <w:rPr>
          <w:lang w:val="el" w:eastAsia="el"/>
        </w:rPr>
      </w:pPr>
      <w:r>
        <w:rPr>
          <w:b/>
          <w:bCs/>
          <w:lang w:val="el" w:eastAsia="el"/>
        </w:rPr>
        <w:t xml:space="preserve">5. </w:t>
      </w:r>
      <w:r>
        <w:rPr>
          <w:b/>
          <w:bCs/>
          <w:lang w:val="el" w:eastAsia="el"/>
        </w:rPr>
        <w:t>Διεύθυνση Εξυπηρέτησης της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Υπουργείο Ανάπτυξης α) Γραφείο Υφυπουργού Ανάπτυξης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Γραμματεία Βιομηχανίας, Γενική Διεύθυνση Βιομηχανικών Υποδομών και Επιχειρηματικού Περιβάλλοντος, Διεύθυνση Πολιτικής Ποιότητας και Μετρολογίας, Τμήμα Μετρολογίας και Μετρητικών Συστημάτων</w:t>
      </w:r>
    </w:p>
    <w:p>
      <w:pPr>
        <w:spacing w:before="240" w:after="240"/>
        <w:rPr>
          <w:lang w:val="el" w:eastAsia="el"/>
        </w:rPr>
      </w:pPr>
      <w:r>
        <w:rPr>
          <w:b/>
          <w:bCs/>
          <w:lang w:val="el" w:eastAsia="el"/>
        </w:rPr>
        <w:t xml:space="preserve">4.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 xml:space="preserve">5. </w:t>
      </w:r>
      <w:r>
        <w:rPr>
          <w:b/>
          <w:bCs/>
          <w:lang w:val="el" w:eastAsia="el"/>
        </w:rPr>
        <w:t>Συντονιστικό Επιχειρησιακό Κέντρο (Σ.Ε.Κ.)</w:t>
      </w:r>
    </w:p>
    <w:p>
      <w:pPr>
        <w:spacing w:before="240" w:after="240"/>
        <w:rPr>
          <w:lang w:val="el" w:eastAsia="el"/>
        </w:rPr>
      </w:pPr>
      <w:r>
        <w:rPr>
          <w:b/>
          <w:bCs/>
          <w:lang w:val="el" w:eastAsia="el"/>
        </w:rPr>
        <w:t xml:space="preserve">6.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7. </w:t>
      </w:r>
      <w:r>
        <w:rPr>
          <w:b/>
          <w:bCs/>
          <w:lang w:val="el" w:eastAsia="el"/>
        </w:rPr>
        <w:t>Διεύθυνση Επικοινωνίας της ΑΑΔΕ</w:t>
      </w:r>
    </w:p>
    <w:p>
      <w:pPr>
        <w:spacing w:before="240" w:after="240"/>
        <w:rPr>
          <w:lang w:val="el" w:eastAsia="el"/>
        </w:rPr>
      </w:pPr>
      <w:r>
        <w:rPr>
          <w:b/>
          <w:bCs/>
          <w:lang w:val="el" w:eastAsia="el"/>
        </w:rPr>
        <w:t xml:space="preserve">8. </w:t>
      </w:r>
      <w:r>
        <w:rPr>
          <w:b/>
          <w:bCs/>
          <w:lang w:val="el" w:eastAsia="el"/>
        </w:rPr>
        <w:t>Διεύθυνση Νομικής Υποστήριξης της ΑΑΔΕ</w:t>
      </w:r>
    </w:p>
    <w:p>
      <w:pPr>
        <w:spacing w:before="240" w:after="240"/>
        <w:rPr>
          <w:lang w:val="el" w:eastAsia="el"/>
        </w:rPr>
      </w:pPr>
      <w:r>
        <w:rPr>
          <w:b/>
          <w:bCs/>
          <w:lang w:val="el" w:eastAsia="el"/>
        </w:rPr>
        <w:t xml:space="preserve">9. </w:t>
      </w:r>
      <w:r>
        <w:rPr>
          <w:b/>
          <w:bCs/>
          <w:lang w:val="el" w:eastAsia="el"/>
        </w:rPr>
        <w:t>Σύνδεσμος Εταιρειών Εμπορίας Πετρελαιοειδών (Σ.Ε.Ε.Π.Ε.) Ίωνος Δραγούμη 46, 115 28 Ιλίσια (για ενημέρωση των μελών του) e-mail:</w:t>
      </w:r>
      <w:hyperlink r:id="rId8"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10.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email:</w:t>
      </w:r>
      <w:hyperlink r:id="rId9"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11.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10" w:history="1">
        <w:r>
          <w:rPr>
            <w:rStyle w:val="Hyperlink"/>
            <w:b/>
            <w:bCs/>
            <w:color w:val="0000EE"/>
            <w:u w:color="0000EE"/>
            <w:lang w:val="el" w:eastAsia="el"/>
          </w:rPr>
          <w:t>motoroil.refnarr@moh.gr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11"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12. </w:t>
      </w:r>
      <w:r>
        <w:rPr>
          <w:b/>
          <w:bCs/>
          <w:lang w:val="el" w:eastAsia="el"/>
        </w:rPr>
        <w:t>Πανελλήνιος Σύλλογος Εφοδιαστών Πλοίων-Εξαγωγέων (για ενημέρωση των μελών του)</w:t>
      </w:r>
    </w:p>
    <w:p>
      <w:pPr>
        <w:spacing w:before="240" w:after="240"/>
        <w:rPr>
          <w:lang w:val="el" w:eastAsia="el"/>
        </w:rPr>
      </w:pPr>
      <w:r>
        <w:rPr>
          <w:b/>
          <w:bCs/>
          <w:lang w:val="el" w:eastAsia="el"/>
        </w:rPr>
        <w:t xml:space="preserve">13. </w:t>
      </w:r>
      <w:r>
        <w:rPr>
          <w:b/>
          <w:bCs/>
          <w:lang w:val="el" w:eastAsia="el"/>
        </w:rPr>
        <w:t>Πανελλήνιος Σύνδεσμος (Ένωση) Ναυτικών Πρακτόρων &amp; Επαγγελματιών Χρηστών Λιμένα e-Mail:</w:t>
      </w:r>
      <w:hyperlink r:id="rId12" w:history="1">
        <w:r>
          <w:rPr>
            <w:rStyle w:val="Hyperlink"/>
            <w:b/>
            <w:bCs/>
            <w:color w:val="0000EE"/>
            <w:u w:color="0000EE"/>
            <w:lang w:val="el" w:eastAsia="el"/>
          </w:rPr>
          <w:t>psa@psa.gr</w:t>
        </w:r>
      </w:hyperlink>
    </w:p>
    <w:p>
      <w:pPr>
        <w:spacing w:before="240" w:after="240"/>
        <w:rPr>
          <w:lang w:val="el" w:eastAsia="el"/>
        </w:rPr>
      </w:pPr>
      <w:r>
        <w:rPr>
          <w:b/>
          <w:bCs/>
          <w:lang w:val="el" w:eastAsia="el"/>
        </w:rPr>
        <w:t xml:space="preserve">14. </w:t>
      </w:r>
      <w:r>
        <w:rPr>
          <w:b/>
          <w:bCs/>
          <w:lang w:val="el" w:eastAsia="el"/>
        </w:rPr>
        <w:t>Σωματείο Ναυτικών Πρακτόρων Αττικής – Πειραιά (ΣΩΝΠΑΠ) e-mail:</w:t>
      </w:r>
      <w:hyperlink r:id="rId13" w:history="1">
        <w:r>
          <w:rPr>
            <w:rStyle w:val="Hyperlink"/>
            <w:b/>
            <w:bCs/>
            <w:color w:val="0000EE"/>
            <w:u w:color="0000EE"/>
            <w:lang w:val="el" w:eastAsia="el"/>
          </w:rPr>
          <w:t>info@sonpap.gr</w:t>
        </w:r>
      </w:hyperlink>
    </w:p>
    <w:p>
      <w:pPr>
        <w:spacing w:before="240" w:after="240"/>
        <w:rPr>
          <w:lang w:val="el" w:eastAsia="el"/>
        </w:rPr>
      </w:pPr>
      <w:r>
        <w:rPr>
          <w:b/>
          <w:bCs/>
          <w:lang w:val="el" w:eastAsia="el"/>
        </w:rPr>
        <w:t xml:space="preserve">15. </w:t>
      </w:r>
      <w:r>
        <w:rPr>
          <w:b/>
          <w:bCs/>
          <w:lang w:val="el" w:eastAsia="el"/>
        </w:rPr>
        <w:t>Ένωση Ελλήνων Εφοπλιστών (Ε.Ε.Ε.) e-mail:</w:t>
      </w:r>
      <w:hyperlink r:id="rId14" w:history="1">
        <w:r>
          <w:rPr>
            <w:rStyle w:val="Hyperlink"/>
            <w:b/>
            <w:bCs/>
            <w:color w:val="0000EE"/>
            <w:u w:color="0000EE"/>
            <w:lang w:val="el" w:eastAsia="el"/>
          </w:rPr>
          <w:t>ugs@ ath.forthnet.gr</w:t>
        </w:r>
      </w:hyperlink>
    </w:p>
    <w:p>
      <w:pPr>
        <w:spacing w:before="240" w:after="240"/>
        <w:rPr>
          <w:lang w:val="el" w:eastAsia="el"/>
        </w:rPr>
      </w:pPr>
      <w:r>
        <w:rPr>
          <w:b/>
          <w:bCs/>
          <w:lang w:val="el" w:eastAsia="el"/>
        </w:rPr>
        <w:t xml:space="preserve">16. </w:t>
      </w:r>
      <w:r>
        <w:rPr>
          <w:b/>
          <w:bCs/>
          <w:lang w:val="el" w:eastAsia="el"/>
        </w:rPr>
        <w:t>Ένωση Εφοπλιστών Ναυτιλίας Μικρών Αποστάσεων e-mail:</w:t>
      </w:r>
      <w:hyperlink r:id="rId15" w:history="1">
        <w:r>
          <w:rPr>
            <w:rStyle w:val="Hyperlink"/>
            <w:b/>
            <w:bCs/>
            <w:color w:val="0000EE"/>
            <w:u w:color="0000EE"/>
            <w:lang w:val="el" w:eastAsia="el"/>
          </w:rPr>
          <w:t>info@shortsea.gr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της Γεν. Δ/νσης Τελωνείων &amp; Ε.Φ.Κ.</w:t>
      </w:r>
    </w:p>
    <w:p>
      <w:pPr>
        <w:spacing w:before="240" w:after="240"/>
        <w:rPr>
          <w:lang w:val="el" w:eastAsia="el"/>
        </w:rPr>
      </w:pPr>
      <w:r>
        <w:rPr>
          <w:b/>
          <w:bCs/>
          <w:lang w:val="el" w:eastAsia="el"/>
        </w:rPr>
        <w:t xml:space="preserve">3. </w:t>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4. </w:t>
      </w:r>
      <w:r>
        <w:rPr>
          <w:b/>
          <w:bCs/>
          <w:lang w:val="el" w:eastAsia="el"/>
        </w:rPr>
        <w:t>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ΔΑΤΕ, Υποδ/νση B’, Τμήμα Δ</w:t>
      </w:r>
    </w:p>
    <w:p>
      <w:pPr>
        <w:pStyle w:val="StructureList1"/>
        <w:spacing w:before="120" w:after="0"/>
        <w:rPr>
          <w:lang w:val="el" w:eastAsia="el"/>
        </w:rPr>
      </w:pPr>
      <w:r>
        <w:rPr>
          <w:b/>
          <w:bCs/>
          <w:lang w:val="el" w:eastAsia="el"/>
        </w:rPr>
        <w:t>β)</w:t>
      </w:r>
      <w:r>
        <w:rPr>
          <w:b/>
          <w:bCs/>
          <w:lang w:val="en" w:eastAsia="en"/>
        </w:rPr>
        <w:tab/>
      </w:r>
      <w:r>
        <w:rPr>
          <w:b/>
          <w:bCs/>
          <w:lang w:val="el" w:eastAsia="el"/>
        </w:rPr>
        <w:t>ΔΙΕΠΙΔΙ, Υποδ/νση Β ,</w:t>
      </w:r>
      <w:r>
        <w:rPr>
          <w:b/>
          <w:bCs/>
          <w:lang w:val="el" w:eastAsia="el"/>
        </w:rPr>
        <w:t xml:space="preserve">́ </w:t>
      </w:r>
      <w:r>
        <w:rPr>
          <w:b/>
          <w:bCs/>
          <w:lang w:val="el" w:eastAsia="el"/>
        </w:rPr>
        <w:t>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otoroil.refnarr@moh.gr" TargetMode="External" /><Relationship Id="rId11" Type="http://schemas.openxmlformats.org/officeDocument/2006/relationships/hyperlink" Target="mailto:info@moh.gr" TargetMode="External" /><Relationship Id="rId12" Type="http://schemas.openxmlformats.org/officeDocument/2006/relationships/hyperlink" Target="mailto:psa@psa.gr" TargetMode="External" /><Relationship Id="rId13" Type="http://schemas.openxmlformats.org/officeDocument/2006/relationships/hyperlink" Target="mailto:info@sonpap.gr" TargetMode="External" /><Relationship Id="rId14" Type="http://schemas.openxmlformats.org/officeDocument/2006/relationships/hyperlink" Target="mailto:ugs@ath.forthnet.gr" TargetMode="External" /><Relationship Id="rId15" Type="http://schemas.openxmlformats.org/officeDocument/2006/relationships/hyperlink" Target="mailto:info@shortsea.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secr_icis@aade.gr" TargetMode="External" /><Relationship Id="rId6" Type="http://schemas.openxmlformats.org/officeDocument/2006/relationships/hyperlink" Target="mailto:date@aade.gr" TargetMode="External" /><Relationship Id="rId7" Type="http://schemas.openxmlformats.org/officeDocument/2006/relationships/hyperlink" Target="mailto:fueltank@aade.gr" TargetMode="External" /><Relationship Id="rId8" Type="http://schemas.openxmlformats.org/officeDocument/2006/relationships/hyperlink" Target="mailto:seepe@seepe.gr" TargetMode="External" /><Relationship Id="rId9" Type="http://schemas.openxmlformats.org/officeDocument/2006/relationships/hyperlink" Target="mailto:helpe@hel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