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ΨΠΙ946ΜΠ3Ζ-1ΥΘ</w:t>
      </w:r>
    </w:p>
    <w:p>
      <w:pPr>
        <w:pStyle w:val="Title"/>
        <w:spacing w:before="120" w:after="360"/>
        <w:rPr>
          <w:lang w:val="el" w:eastAsia="el"/>
        </w:rPr>
      </w:pPr>
      <w:r>
        <w:rPr>
          <w:b/>
          <w:bCs/>
          <w:lang w:val="el" w:eastAsia="el"/>
        </w:rPr>
        <w:t>Αθήνα, 7 Μαρτίου 2025</w:t>
      </w:r>
    </w:p>
    <w:p>
      <w:pPr>
        <w:pStyle w:val="Title"/>
        <w:spacing w:before="120" w:after="360"/>
        <w:rPr>
          <w:lang w:val="el" w:eastAsia="el"/>
        </w:rPr>
      </w:pPr>
      <w:r>
        <w:rPr>
          <w:b/>
          <w:bCs/>
          <w:lang w:val="el" w:eastAsia="el"/>
        </w:rPr>
        <w:t>Ε. 2016</w:t>
      </w:r>
    </w:p>
    <w:p>
      <w:pPr>
        <w:pStyle w:val="Title"/>
        <w:spacing w:before="120" w:after="360"/>
        <w:rPr>
          <w:lang w:val="el" w:eastAsia="el"/>
        </w:rPr>
      </w:pPr>
      <w:r>
        <w:rPr>
          <w:b/>
          <w:bCs/>
          <w:lang w:val="el" w:eastAsia="el"/>
        </w:rPr>
        <w:t>ΠΡΟΣ: Ως πίνακα διανομής</w:t>
      </w:r>
    </w:p>
    <w:p>
      <w:pPr>
        <w:pStyle w:val="Title"/>
        <w:spacing w:before="120" w:after="360"/>
        <w:rPr>
          <w:lang w:val="el" w:eastAsia="el"/>
        </w:rPr>
      </w:pPr>
      <w:r>
        <w:rPr>
          <w:b/>
          <w:bCs/>
          <w:lang w:val="el" w:eastAsia="el"/>
        </w:rPr>
        <w:t>Θέμα: “Κατάρτιση εγχειριδίου/ενημερωτικού οδηγού σε ειδικά θέματα φορολογίας μεταβίβασης κεφαλαίου, Δεκεμβρίου 2024”.</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Εγχειρίδιο που αφορά τα ειδικά θέματα φορολογίας μεταβίβασης κεφαλαίου για την πληρέστερη ενημέρωση και υποστήριξη του έργου των υπαλλήλων της Φορολογικής Διοίκησης και την ορθή και έγκυρη πληροφόρηση των ενδιαφερόμενων.</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Ενημερωτικός οδηγός για τα ειδικά θέματα φορολογίας μεταβίβασης κεφαλαίου.</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Το εγχειρίδιο αφορά τις υπηρεσίες της Φορολογικής Διοίκησης, τους φορολογούμενους και τους επαγγελματίες με εξειδίκευση στην παροχή φορολογικών υπηρεσιών σε ζητήματα φορολογίας μεταβίβασης κεφαλαίου.</w:t>
      </w:r>
    </w:p>
    <w:p>
      <w:pPr>
        <w:spacing w:before="240" w:after="240"/>
        <w:rPr>
          <w:lang w:val="el" w:eastAsia="el"/>
        </w:rPr>
      </w:pPr>
      <w:r>
        <w:rPr>
          <w:b/>
          <w:bCs/>
          <w:lang w:val="el" w:eastAsia="el"/>
        </w:rPr>
        <w:t>Στο πλαίσιο υλοποίησης του επιχειρησιακού στόχου ΑΑΔΕ με κωδικό ΣΜ.1.2.249 «Κατάρτιση εγχειριδίου/ενημερωτικού οδηγού σε ειδικά θέματα φορολογίας μεταβίβασης κεφαλαίου, έως 31-12-2024», αποστέλλεται συνημμένα «Εγχειρίδιο/ενημερωτικός οδηγός σε ειδικά θέματα φορολογίας μεταβίβασης κεφαλαίου, Δεκεμβρίου 2024», για την πληρέστερη ενημέρωση και υποστήριξη του έργου των υπαλλήλων κεφαλαίου των φορολογικών υπηρεσιών και την ορθή και έγκυρη πληροφόρηση των ενδιαφερόμενων, για τα θέματα που περιλαμβάνονται σε αυτό, επισημαίνοντας ότι:</w:t>
      </w:r>
    </w:p>
    <w:p>
      <w:pPr>
        <w:pStyle w:val="StructureList1"/>
        <w:spacing w:before="120" w:after="0"/>
        <w:rPr>
          <w:lang w:val="el" w:eastAsia="el"/>
        </w:rPr>
      </w:pPr>
      <w:r>
        <w:rPr>
          <w:lang w:val="el" w:eastAsia="el"/>
        </w:rPr>
        <w:t>α)</w:t>
      </w:r>
      <w:r>
        <w:rPr>
          <w:lang w:val="en" w:eastAsia="en"/>
        </w:rPr>
        <w:tab/>
      </w:r>
      <w:r>
        <w:rPr>
          <w:b/>
          <w:bCs/>
          <w:lang w:val="el" w:eastAsia="el"/>
        </w:rPr>
        <w:t>Στο εν λόγω Εγχειρίδιο αναλύονται με τρόπο απλό, κατανοητό και ευσύνοπτο, υπό μορφή ερώτησης και απάντησης, ειδικά θέματα που αφορούν στις φορολογίες μεταβίβασης ακινήτων, κληρονομιών, δωρεών, γονικών παροχών και κερδών από τυχερά παίγνια.</w:t>
      </w:r>
    </w:p>
    <w:p>
      <w:pPr>
        <w:pStyle w:val="StructureList1"/>
        <w:spacing w:before="120" w:after="0"/>
        <w:rPr>
          <w:lang w:val="el" w:eastAsia="el"/>
        </w:rPr>
      </w:pPr>
      <w:r>
        <w:rPr>
          <w:lang w:val="el" w:eastAsia="el"/>
        </w:rPr>
        <w:t>β)</w:t>
      </w:r>
      <w:r>
        <w:rPr>
          <w:lang w:val="en" w:eastAsia="en"/>
        </w:rPr>
        <w:tab/>
      </w:r>
      <w:r>
        <w:rPr>
          <w:b/>
          <w:bCs/>
          <w:lang w:val="el" w:eastAsia="el"/>
        </w:rPr>
        <w:t>Η επιλογή και καταγραφή της παρούσας ύλης της αποτελεί απόρροια σχετικών υποδείξεων και παρατηρήσεων τόσο των υπαλλήλων των υπηρεσιών της ΑΑΔΕ όσο και των ενδιαφερομένων σε ειδικά θέματα φορολογίας κεφαλαίου.</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Συν/να:</w:t>
      </w:r>
      <w:r>
        <w:rPr>
          <w:b/>
          <w:bCs/>
          <w:lang w:val="el" w:eastAsia="el"/>
        </w:rPr>
        <w:t xml:space="preserve"> Εγχειρίδιο/ενημερωτικός οδηγός σε ειδικά θέματα φορολογίας μεταβίβασης κεφαλαίου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(περιπτώσεις 4, 5, 6 και 9)</w:t>
      </w:r>
    </w:p>
    <w:p>
      <w:pPr>
        <w:spacing w:before="240" w:after="240"/>
        <w:rPr>
          <w:lang w:val="el" w:eastAsia="el"/>
        </w:rPr>
      </w:pPr>
      <w:r>
        <w:rPr>
          <w:lang w:val="el" w:eastAsia="el"/>
        </w:rPr>
        <w:t xml:space="preserve">2. </w:t>
      </w:r>
      <w:r>
        <w:rPr>
          <w:b/>
          <w:bCs/>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lang w:val="el" w:eastAsia="el"/>
        </w:rPr>
        <w:t>ΙΙ.ΑΠΟΔΕΚΤΕΣ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Πίνακα Β΄ (περίπτωση 3)</w:t>
      </w:r>
    </w:p>
    <w:p>
      <w:pPr>
        <w:spacing w:before="240" w:after="240"/>
        <w:rPr>
          <w:lang w:val="el" w:eastAsia="el"/>
        </w:rPr>
      </w:pPr>
      <w:r>
        <w:rPr>
          <w:lang w:val="el" w:eastAsia="el"/>
        </w:rPr>
        <w:t xml:space="preserve">5. </w:t>
      </w:r>
      <w:r>
        <w:rPr>
          <w:b/>
          <w:bCs/>
          <w:lang w:val="el" w:eastAsia="el"/>
        </w:rPr>
        <w:t>Αποδέκτες Πίνακα Γ΄ (περιπτώσεις 1, 3, 7, 8 και 10)</w:t>
      </w:r>
    </w:p>
    <w:p>
      <w:pPr>
        <w:spacing w:before="240" w:after="240"/>
        <w:rPr>
          <w:lang w:val="el" w:eastAsia="el"/>
        </w:rPr>
      </w:pPr>
      <w:r>
        <w:rPr>
          <w:lang w:val="el" w:eastAsia="el"/>
        </w:rPr>
        <w:t xml:space="preserve">6. </w:t>
      </w:r>
      <w:r>
        <w:rPr>
          <w:b/>
          <w:bCs/>
          <w:lang w:val="el" w:eastAsia="el"/>
        </w:rPr>
        <w:t>Αποδέκτες Πίνακα Ζ΄ (περιπτώσεις 1 και 7)</w:t>
      </w:r>
    </w:p>
    <w:p>
      <w:pPr>
        <w:spacing w:before="240" w:after="240"/>
        <w:rPr>
          <w:lang w:val="el" w:eastAsia="el"/>
        </w:rPr>
      </w:pPr>
      <w:r>
        <w:rPr>
          <w:lang w:val="el" w:eastAsia="el"/>
        </w:rPr>
        <w:t xml:space="preserve">7. </w:t>
      </w:r>
      <w:r>
        <w:rPr>
          <w:b/>
          <w:bCs/>
          <w:lang w:val="el" w:eastAsia="el"/>
        </w:rPr>
        <w:t>Αποδέκτες Πίνακα Η΄(περιπτώσεις 1 έως και 3, 5 έως και 9)</w:t>
      </w:r>
    </w:p>
    <w:p>
      <w:pPr>
        <w:spacing w:before="240" w:after="240"/>
        <w:rPr>
          <w:lang w:val="el" w:eastAsia="el"/>
        </w:rPr>
      </w:pPr>
      <w:r>
        <w:rPr>
          <w:lang w:val="el" w:eastAsia="el"/>
        </w:rPr>
        <w:t xml:space="preserve">8. </w:t>
      </w:r>
      <w:r>
        <w:rPr>
          <w:b/>
          <w:bCs/>
          <w:lang w:val="el" w:eastAsia="el"/>
        </w:rPr>
        <w:t>Υπουργείο Δικαιοσύνης (με την παράκληση να ενημερωθούν όλα τα Υποθηκοφυλακεία, οι Δικηγορικοί και οι Συμβολαιογραφικοί Σύλλογοι)</w:t>
      </w:r>
    </w:p>
    <w:p>
      <w:pPr>
        <w:spacing w:before="240" w:after="240"/>
        <w:rPr>
          <w:lang w:val="el" w:eastAsia="el"/>
        </w:rPr>
      </w:pPr>
      <w:r>
        <w:rPr>
          <w:b/>
          <w:bCs/>
          <w:lang w:val="el" w:eastAsia="el"/>
        </w:rPr>
        <w:t>III.ΕΣΩΤΕΡΙΚΗ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Γραφεία Γενικού Διευθυντή Φορολογίας</w:t>
      </w:r>
    </w:p>
    <w:p>
      <w:pPr>
        <w:spacing w:before="240" w:after="240"/>
        <w:rPr>
          <w:lang w:val="el" w:eastAsia="el"/>
        </w:rPr>
      </w:pPr>
      <w:r>
        <w:rPr>
          <w:lang w:val="el" w:eastAsia="el"/>
        </w:rPr>
        <w:t xml:space="preserve">3. </w:t>
      </w:r>
      <w:r>
        <w:rPr>
          <w:b/>
          <w:bCs/>
          <w:lang w:val="el" w:eastAsia="el"/>
        </w:rPr>
        <w:t>Γραφείο Γενικού Διευθυντή Φορολογικών Λειτουργιών</w:t>
      </w:r>
    </w:p>
    <w:p>
      <w:pPr>
        <w:spacing w:before="240" w:after="240"/>
        <w:rPr>
          <w:lang w:val="el" w:eastAsia="el"/>
        </w:rPr>
      </w:pPr>
      <w:r>
        <w:rPr>
          <w:lang w:val="el" w:eastAsia="el"/>
        </w:rPr>
        <w:t xml:space="preserve">4. </w:t>
      </w:r>
      <w:r>
        <w:rPr>
          <w:b/>
          <w:bCs/>
          <w:lang w:val="el" w:eastAsia="el"/>
        </w:rPr>
        <w:t>Διευθύνσεις, Αυτοτελή Τμήματα και Αυτοτελή Γραφεία της ΓΔΦ</w:t>
      </w:r>
    </w:p>
    <w:p>
      <w:pPr>
        <w:spacing w:before="240" w:after="240"/>
        <w:rPr>
          <w:lang w:val="el" w:eastAsia="el"/>
        </w:rPr>
      </w:pPr>
      <w:r>
        <w:rPr>
          <w:lang w:val="el" w:eastAsia="el"/>
        </w:rPr>
        <w:t xml:space="preserve">5. </w:t>
      </w:r>
      <w:r>
        <w:rPr>
          <w:b/>
          <w:bCs/>
          <w:lang w:val="el" w:eastAsia="el"/>
        </w:rPr>
        <w:t>Διεύθυνση Επικοινωνίας</w:t>
      </w:r>
    </w:p>
    <w:p>
      <w:pPr>
        <w:spacing w:before="240" w:after="240"/>
        <w:rPr>
          <w:lang w:val="el" w:eastAsia="el"/>
        </w:rPr>
      </w:pPr>
      <w:r>
        <w:rPr>
          <w:lang w:val="el" w:eastAsia="el"/>
        </w:rPr>
        <w:t xml:space="preserve">6. </w:t>
      </w:r>
      <w:r>
        <w:rPr>
          <w:b/>
          <w:bCs/>
          <w:lang w:val="el" w:eastAsia="el"/>
        </w:rPr>
        <w:t>Διεύθυνση Νομικής Υποστήριξης της ΑΑΔΕ</w:t>
      </w:r>
    </w:p>
    <w:p>
      <w:pPr>
        <w:spacing w:before="240" w:after="240"/>
        <w:rPr>
          <w:lang w:val="el" w:eastAsia="el"/>
        </w:rPr>
      </w:pPr>
      <w:r>
        <w:rPr>
          <w:lang w:val="el" w:eastAsia="el"/>
        </w:rPr>
        <w:t xml:space="preserve">7. </w:t>
      </w:r>
      <w:r>
        <w:rPr>
          <w:b/>
          <w:bCs/>
          <w:lang w:val="el" w:eastAsia="el"/>
        </w:rPr>
        <w:t>Διεύθυνση Εφαρμογής Φορολογίας Κεφαλαίου και Περιουσιολογίου – Τμήματα Α΄ και Β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