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18/06/2025</w:t>
      </w:r>
    </w:p>
    <w:p>
      <w:pPr>
        <w:pStyle w:val="Title"/>
        <w:spacing w:before="120" w:after="360"/>
        <w:rPr>
          <w:lang w:val="el" w:eastAsia="el"/>
        </w:rPr>
      </w:pPr>
      <w:r>
        <w:rPr>
          <w:lang w:val="el" w:eastAsia="el"/>
        </w:rPr>
        <w:t>Α. Π.: Ε2035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w:t>
      </w:r>
    </w:p>
    <w:p>
      <w:pPr>
        <w:pStyle w:val="PreambelText"/>
        <w:spacing w:before="240" w:after="240"/>
        <w:rPr>
          <w:lang w:val="el" w:eastAsia="el"/>
        </w:rPr>
      </w:pPr>
      <w:r>
        <w:rPr>
          <w:b/>
          <w:bCs/>
          <w:lang w:val="el" w:eastAsia="el"/>
        </w:rPr>
        <w:t>ΚΑΙ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E΄</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Θέμα: «Παροχή οδηγιών σχετικά με τον προσδιορισμό της φορολογητέας αξίας για την καταβολή Φ.Π.Α. επαγγελματικών πλοίων αναψυχής, λόγω παύσης ισχύος της επαγγελματικής τους άδειας, ελλείψει αποδεικτικών στοιχείων και εγγράφων της περ. α. της παρ. 2 του άρθρου 7 του ν.4926/2022 (Α΄82)»</w:t>
      </w:r>
    </w:p>
    <w:p>
      <w:pPr>
        <w:spacing w:before="240" w:after="240"/>
        <w:rPr>
          <w:lang w:val="el" w:eastAsia="el"/>
        </w:rPr>
      </w:pPr>
      <w:r>
        <w:rPr>
          <w:b/>
          <w:bCs/>
          <w:lang w:val="el" w:eastAsia="el"/>
        </w:rPr>
        <w:t>Σχετ. : α. ν. 4926/2022 «</w:t>
      </w:r>
      <w:r>
        <w:rPr>
          <w:b/>
          <w:bCs/>
          <w:i/>
          <w:iCs/>
          <w:lang w:val="el" w:eastAsia="el"/>
        </w:rPr>
        <w:t>Εκσυγχρονισμός του θεσμικού πλαισίου για τη δραστηριοποίηση των πλοίων αναψυχής και των τουριστικών ημερόπλοιων, την ενίσχυση της ανταγωνιστικότητας του κλάδου των επαγγελματικών πλοίων αναψυχής και άλλες διατάξεις</w:t>
      </w:r>
      <w:r>
        <w:rPr>
          <w:b/>
          <w:bCs/>
          <w:lang w:val="el" w:eastAsia="el"/>
        </w:rPr>
        <w:t>» (Α΄82)</w:t>
      </w:r>
    </w:p>
    <w:p>
      <w:pPr>
        <w:spacing w:before="240" w:after="240"/>
        <w:rPr>
          <w:lang w:val="el" w:eastAsia="el"/>
        </w:rPr>
      </w:pPr>
      <w:r>
        <w:rPr>
          <w:b/>
          <w:bCs/>
          <w:lang w:val="el" w:eastAsia="el"/>
        </w:rPr>
        <w:t>β. Η αρ.πρωτ. Ε.2024/23.03.2023 εγκύκλιος του Διοικητή της ΑΑΔΕ «Οδηγίες για την βεβαίωση και είσπραξη οφειλών από τις αρμόδιες Τελωνειακές Υπηρεσίες για επαγγελματικά σκάφη αναψυχής κατ’ εφαρμογή των διατάξεων των άρθρων 7 και 22 του ν.4926/2022 ( Α΄82 )» (ΑΔΑ:6ΩΨ746ΜΠ3Ζ-ΡΑΩ)</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Παροχή οδηγιών σχετικά με τον προσδιορισμό της φορολογητέας αξίας για την καταβολή του Φ.Π.Α. επαγγελματικών πλοίων αναψυχής, λόγω παύσης ισχύος της επαγγελματικής τους άδειας, στις περιπτώσεις έλλειψης αποδεικτικών στοιχείων και εγγράφων που προβλέπονται στην περ. α. της παρ. 2 του άρθρου 7 του ν. 4926/2022 (Α΄82).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δίδονται οδηγίες σχετικά με τη διαμόρφωση της φορολογητέας αξίας για την καταβολή Φ.Π.Α. επαγγελματικών πλοίων αναψυχής, όταν δεν υπάρχουν διαθέσιμα τα αποδεικτικά στοιχεία κι έγγραφα ήτοι, τιμολόγιο του ναυπηγείου ή της επιχείρησης κατασκευής, ασφαλιστήριο συμβόλαιο του πλοίου ή βεβαίωση του Ναυτικού Επιμελητήριου Ελλάδος, όπως αυτά ειδικότερα προβλέπονται στην περ. α. της παρ. 2 του άρθρου 7 του ν.4926/2022.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σε: α) τελωνειακές αρχές, β) εμπλεκόμενους φορείς που δραστηριοποιούνται στα επαγγελματικά πλοία αναψυχής.</w:t>
      </w:r>
    </w:p>
    <w:p>
      <w:pPr>
        <w:spacing w:before="240" w:after="240"/>
        <w:rPr>
          <w:lang w:val="el" w:eastAsia="el"/>
        </w:rPr>
      </w:pPr>
      <w:r>
        <w:rPr>
          <w:b/>
          <w:bCs/>
          <w:lang w:val="el" w:eastAsia="el"/>
        </w:rPr>
        <w:t>Σχετικά με τον προσδιορισμό της φορολογητέας αξίας επαγγελματικών πλοίων αναψυχής, για τα οποία ανακύπτει η υποχρέωση καταβολής Φ.Π.Α., λόγω παύσης ισχύος της επαγγελματικής τους άδειας, στις περιπτώσεις που δεν διατίθενται τα προβλεπόμενα για τον προσδιορισμό αυτής αποδεικτικά στοιχεία και έγγραφα σύμφωνα με την περ. α. της παρ. 2 του άρθρου 7 του ν. 4926/2022 και ειδικότερα όταν δεν υπάρχει τιμολόγιο του ναυπηγείου ή της επιχείρησης κατασκευής ή δεν υφίσταται ασφαλιστήριο συμβόλαιο του πλοίου ή το Ναυτικό Επιμελητήριο Ελλάδος δηλώνει ότι δεν δύναται να εκδώσει σχετική βεβαίωση για την αρχική ή την τρέχουσα αξία του πλοίου και λαμβάνοντας υπόψη ότι:</w:t>
      </w:r>
    </w:p>
    <w:p>
      <w:pPr>
        <w:spacing w:before="240" w:after="240"/>
        <w:rPr>
          <w:lang w:val="el" w:eastAsia="el"/>
        </w:rPr>
      </w:pPr>
      <w:r>
        <w:rPr>
          <w:lang w:val="el" w:eastAsia="el"/>
        </w:rPr>
        <w:t xml:space="preserve">✔ </w:t>
      </w:r>
      <w:r>
        <w:rPr>
          <w:b/>
          <w:bCs/>
          <w:lang w:val="el" w:eastAsia="el"/>
        </w:rPr>
        <w:t>σύμφωνα με το άρθρο 31 του Εθνικού Τελωνειακού Κώδικα (ν. 2960/2001, Α΄265), το Δημόσιο διατηρεί αμείωτες τις απαιτήσεις του για δασμούς, φόρους και λοιπές επιβαρύνσεις που δεν έχουν εισπραχθεί ή έχουν ελλιπώς βεβαιωθεί,</w:t>
      </w:r>
    </w:p>
    <w:p>
      <w:pPr>
        <w:spacing w:before="240" w:after="240"/>
        <w:rPr>
          <w:lang w:val="el" w:eastAsia="el"/>
        </w:rPr>
      </w:pPr>
      <w:r>
        <w:rPr>
          <w:lang w:val="el" w:eastAsia="el"/>
        </w:rPr>
        <w:t xml:space="preserve">✔ </w:t>
      </w:r>
      <w:r>
        <w:rPr>
          <w:b/>
          <w:bCs/>
          <w:lang w:val="el" w:eastAsia="el"/>
        </w:rPr>
        <w:t>σύμφωνα με το άρθρο 7 του ν.4926/2022, κατά το χρόνο έκδοσης της πράξης για την παύση ισχύος της επαγγελματικής άδειας, πραγματοποιείται βεβαίωση για την είσπραξη δασμών, φόρων και λοιπών επιβαρύνσεων,</w:t>
      </w:r>
    </w:p>
    <w:p>
      <w:pPr>
        <w:spacing w:before="240" w:after="240"/>
        <w:rPr>
          <w:lang w:val="el" w:eastAsia="el"/>
        </w:rPr>
      </w:pPr>
      <w:r>
        <w:rPr>
          <w:lang w:val="el" w:eastAsia="el"/>
        </w:rPr>
        <w:t xml:space="preserve">✔ </w:t>
      </w:r>
      <w:r>
        <w:rPr>
          <w:b/>
          <w:bCs/>
          <w:lang w:val="el" w:eastAsia="el"/>
        </w:rPr>
        <w:t>σύμφωνα με το άρθρο 25 του Κώδικα Φ.Π.Α. (ν.5144/2024, Α΄162), η φορολογητέα αξία για σκοπούς Φ.Π.Α. διαμορφώνεται με βάση τη δασμολογητέα αξία, όπως αυτή προσδιορίζεται από τις ισχύουσες διατάξεις της ενωσιακής τελωνειακής νομοθεσίας,</w:t>
      </w:r>
    </w:p>
    <w:p>
      <w:pPr>
        <w:spacing w:before="240" w:after="240"/>
        <w:rPr>
          <w:lang w:val="el" w:eastAsia="el"/>
        </w:rPr>
      </w:pPr>
      <w:r>
        <w:rPr>
          <w:lang w:val="el" w:eastAsia="el"/>
        </w:rPr>
        <w:t xml:space="preserve">✔ </w:t>
      </w:r>
      <w:r>
        <w:rPr>
          <w:b/>
          <w:bCs/>
          <w:lang w:val="el" w:eastAsia="el"/>
        </w:rPr>
        <w:t>η δασμολογητέα αξία διαμορφώνεται με βάση τα άρθρα 70-74 του Ενωσιακού Τελωνειακού Κώδικα (Καν. 952/2013) και ειδικότερα, σε περίπτωση που δεν υφίσταται συναλλακτική αξία και δεν μπορούν να εφαρμοστούν άλλες εναλλακτικές μέθοδοι (πανομοιότυπα, ομοειδή κ.λ.π.) τότε αυτή καθορίζεται με βάση τα διαθέσιμα στοιχεία και με εύλογο τρόπο, βάσει της παρ. 3 του άρθρου 74 του Ενωσιακού Τελωνειακού Κώδικα,</w:t>
      </w:r>
    </w:p>
    <w:p>
      <w:pPr>
        <w:spacing w:before="240" w:after="240"/>
        <w:rPr>
          <w:lang w:val="el" w:eastAsia="el"/>
        </w:rPr>
      </w:pPr>
      <w:r>
        <w:rPr>
          <w:b/>
          <w:bCs/>
          <w:lang w:val="el" w:eastAsia="el"/>
        </w:rPr>
        <w:t>αναφέρεται ότι, η φορολογητέα αξία για την καταβολή του αναλογούντος Φ.Π.Α., διαμορφώνεται με βάση την τρέχουσα αξία του πλοίου, κατά το χρόνο παύσης ισχύος της επαγγελματικής του άδειας, με βάση το άρθρο 25 του Κώδικα Φ.Π.Α., σε συνδυασμό με την παρ. 3 του άρθρου 74 του Ενωσιακού Τελωνειακού Κώδικα.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Αποδέκτες Πίνακα Δ΄</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Δ/νση Εσωτερικού Ελέγχου</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Αυτοτελές Τμήμα Νομικής Υποστήριξης</w:t>
      </w:r>
    </w:p>
    <w:p>
      <w:pPr>
        <w:spacing w:before="240" w:after="240"/>
        <w:rPr>
          <w:lang w:val="el" w:eastAsia="el"/>
        </w:rPr>
      </w:pPr>
      <w:r>
        <w:rPr>
          <w:lang w:val="el" w:eastAsia="el"/>
        </w:rPr>
        <w:t xml:space="preserve">7. </w:t>
      </w:r>
      <w:r>
        <w:rPr>
          <w:b/>
          <w:bCs/>
          <w:lang w:val="el" w:eastAsia="el"/>
        </w:rPr>
        <w:t>Ελεγκτική Υπηρεσία Τελωνείων (ΕΛ.Υ.Τ.) Αττικής</w:t>
      </w:r>
    </w:p>
    <w:p>
      <w:pPr>
        <w:spacing w:before="240" w:after="240"/>
        <w:rPr>
          <w:lang w:val="el" w:eastAsia="el"/>
        </w:rPr>
      </w:pPr>
      <w:r>
        <w:rPr>
          <w:lang w:val="el" w:eastAsia="el"/>
        </w:rPr>
        <w:t xml:space="preserve">8.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9. </w:t>
      </w:r>
      <w:r>
        <w:rPr>
          <w:b/>
          <w:bCs/>
          <w:lang w:val="el" w:eastAsia="el"/>
        </w:rPr>
        <w:t>Επιτελική Υπηρεσία Τελωνείων (Ε.Υ.Τ.Ε.)</w:t>
      </w:r>
    </w:p>
    <w:p>
      <w:pPr>
        <w:spacing w:before="240" w:after="240"/>
        <w:rPr>
          <w:lang w:val="el" w:eastAsia="el"/>
        </w:rPr>
      </w:pPr>
      <w:r>
        <w:rPr>
          <w:lang w:val="el" w:eastAsia="el"/>
        </w:rPr>
        <w:t xml:space="preserve">10. </w:t>
      </w:r>
      <w:r>
        <w:rPr>
          <w:b/>
          <w:bCs/>
          <w:lang w:val="el" w:eastAsia="el"/>
        </w:rPr>
        <w:t>Συντονιστικό Επιχειρησιακό Κέντρο(Σ.Ε.Κ.)</w:t>
      </w:r>
    </w:p>
    <w:p>
      <w:pPr>
        <w:spacing w:before="240" w:after="240"/>
        <w:rPr>
          <w:lang w:val="el" w:eastAsia="el"/>
        </w:rPr>
      </w:pPr>
      <w:r>
        <w:rPr>
          <w:lang w:val="el" w:eastAsia="el"/>
        </w:rPr>
        <w:t xml:space="preserve">11.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Δ/νση Οργάνωσης -Τμήμα Β΄</w:t>
      </w:r>
    </w:p>
    <w:p>
      <w:pPr>
        <w:spacing w:before="240" w:after="240"/>
        <w:rPr>
          <w:lang w:val="el" w:eastAsia="el"/>
        </w:rPr>
      </w:pPr>
      <w:r>
        <w:rPr>
          <w:lang w:val="el" w:eastAsia="el"/>
        </w:rPr>
        <w:t xml:space="preserve">12. </w:t>
      </w:r>
      <w:r>
        <w:rPr>
          <w:b/>
          <w:bCs/>
          <w:lang w:val="el" w:eastAsia="el"/>
        </w:rPr>
        <w:t>Διεύθυνση Φορολογικής και Τελωνειακής Ακαδημίας</w:t>
      </w:r>
    </w:p>
    <w:p>
      <w:pPr>
        <w:spacing w:before="240" w:after="240"/>
        <w:rPr>
          <w:lang w:val="el" w:eastAsia="el"/>
        </w:rPr>
      </w:pPr>
      <w:r>
        <w:rPr>
          <w:lang w:val="el" w:eastAsia="el"/>
        </w:rPr>
        <w:t xml:space="preserve">13. </w:t>
      </w:r>
      <w:r>
        <w:rPr>
          <w:b/>
          <w:bCs/>
          <w:lang w:val="el" w:eastAsia="el"/>
        </w:rPr>
        <w:t>Υπουργείο Ναυτιλίας και Νησιωτικής Πολιτικής (ΥΠΕΝ)</w:t>
      </w:r>
    </w:p>
    <w:p>
      <w:pPr>
        <w:spacing w:before="240" w:after="240"/>
        <w:rPr>
          <w:lang w:val="el" w:eastAsia="el"/>
        </w:rPr>
      </w:pPr>
      <w:r>
        <w:rPr>
          <w:lang w:val="el" w:eastAsia="el"/>
        </w:rPr>
        <w:t xml:space="preserve">14. </w:t>
      </w:r>
      <w:r>
        <w:rPr>
          <w:b/>
          <w:bCs/>
          <w:lang w:val="el" w:eastAsia="el"/>
        </w:rPr>
        <w:t>Αποδέκτες Πίνακα Η΄(Σύλλογοι Λογιστών και Εκτελωνιστών)</w:t>
      </w:r>
    </w:p>
    <w:p>
      <w:pPr>
        <w:spacing w:before="240" w:after="240"/>
        <w:rPr>
          <w:lang w:val="el" w:eastAsia="el"/>
        </w:rPr>
      </w:pPr>
      <w:r>
        <w:rPr>
          <w:lang w:val="el" w:eastAsia="el"/>
        </w:rPr>
        <w:t xml:space="preserve">15. </w:t>
      </w:r>
      <w:r>
        <w:rPr>
          <w:b/>
          <w:bCs/>
          <w:lang w:val="el" w:eastAsia="el"/>
        </w:rPr>
        <w:t>Οικονομικό Επιμελητήριο Ελλάδος</w:t>
      </w:r>
    </w:p>
    <w:p>
      <w:pPr>
        <w:spacing w:before="240" w:after="240"/>
        <w:rPr>
          <w:lang w:val="el" w:eastAsia="el"/>
        </w:rPr>
      </w:pPr>
      <w:r>
        <w:rPr>
          <w:lang w:val="el" w:eastAsia="el"/>
        </w:rPr>
        <w:t xml:space="preserve">16. </w:t>
      </w:r>
      <w:r>
        <w:rPr>
          <w:b/>
          <w:bCs/>
          <w:lang w:val="el" w:eastAsia="el"/>
        </w:rPr>
        <w:t>Κεντρική Ένωση Επιμελητηρίων Ελλάδος (ΚΕΕ)</w:t>
      </w:r>
    </w:p>
    <w:p>
      <w:pPr>
        <w:spacing w:before="240" w:after="240"/>
        <w:rPr>
          <w:lang w:val="el" w:eastAsia="el"/>
        </w:rPr>
      </w:pPr>
      <w:r>
        <w:rPr>
          <w:lang w:val="el" w:eastAsia="el"/>
        </w:rPr>
        <w:t xml:space="preserve">17. </w:t>
      </w:r>
      <w:r>
        <w:rPr>
          <w:b/>
          <w:bCs/>
          <w:lang w:val="el" w:eastAsia="el"/>
        </w:rPr>
        <w:t>Ναυτικό Επιμελητήριο Ελλάδος</w:t>
      </w:r>
    </w:p>
    <w:p>
      <w:pPr>
        <w:spacing w:before="240" w:after="240"/>
        <w:rPr>
          <w:lang w:val="el" w:eastAsia="el"/>
        </w:rPr>
      </w:pPr>
      <w:r>
        <w:rPr>
          <w:lang w:val="el" w:eastAsia="el"/>
        </w:rPr>
        <w:t xml:space="preserve">18. </w:t>
      </w:r>
      <w:r>
        <w:rPr>
          <w:b/>
          <w:bCs/>
          <w:lang w:val="el" w:eastAsia="el"/>
        </w:rPr>
        <w:t>Αποδέκτες Πίνακα Ζ΄(Συνδικαλιστικοί Σύλλογοι Υπαλλήλων ΑΑΔΕ)</w:t>
      </w:r>
    </w:p>
    <w:p>
      <w:pPr>
        <w:spacing w:before="240" w:after="240"/>
        <w:rPr>
          <w:lang w:val="el" w:eastAsia="el"/>
        </w:rPr>
      </w:pPr>
      <w:r>
        <w:rPr>
          <w:lang w:val="el" w:eastAsia="el"/>
        </w:rPr>
        <w:t xml:space="preserve">19. </w:t>
      </w:r>
      <w:r>
        <w:rPr>
          <w:b/>
          <w:bCs/>
          <w:lang w:val="el" w:eastAsia="el"/>
        </w:rPr>
        <w:t>Ελληνική Στατιστική Αρχή</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της Γενικής Διεύθυνσης Τελωνείων &amp; Ε.Φ.Κ.</w:t>
      </w:r>
    </w:p>
    <w:p>
      <w:pPr>
        <w:spacing w:before="240" w:after="240"/>
        <w:rPr>
          <w:lang w:val="el" w:eastAsia="el"/>
        </w:rPr>
      </w:pPr>
      <w:r>
        <w:rPr>
          <w:lang w:val="el" w:eastAsia="el"/>
        </w:rPr>
        <w:t xml:space="preserve">3. </w:t>
      </w:r>
      <w:r>
        <w:rPr>
          <w:b/>
          <w:bCs/>
          <w:lang w:val="el" w:eastAsia="el"/>
        </w:rPr>
        <w:t>Δ/νση Τελωνειακών Διαδικασιών</w:t>
      </w:r>
    </w:p>
    <w:p>
      <w:pPr>
        <w:spacing w:before="240" w:after="240"/>
        <w:rPr>
          <w:lang w:val="el" w:eastAsia="el"/>
        </w:rPr>
      </w:pPr>
      <w:r>
        <w:rPr>
          <w:lang w:val="el" w:eastAsia="el"/>
        </w:rPr>
        <w:t xml:space="preserve">4. </w:t>
      </w:r>
      <w:r>
        <w:rPr>
          <w:b/>
          <w:bCs/>
          <w:lang w:val="el" w:eastAsia="el"/>
        </w:rPr>
        <w:t>Δ/νση Στρατηγικής Τελωνειακών Ελέγχων &amp; Παραβάσεων</w:t>
      </w:r>
    </w:p>
    <w:p>
      <w:pPr>
        <w:spacing w:before="240" w:after="240"/>
        <w:rPr>
          <w:lang w:val="el" w:eastAsia="el"/>
        </w:rPr>
      </w:pPr>
      <w:r>
        <w:rPr>
          <w:lang w:val="el" w:eastAsia="el"/>
        </w:rPr>
        <w:t xml:space="preserve">5. </w:t>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6. </w:t>
      </w:r>
      <w:r>
        <w:rPr>
          <w:b/>
          <w:bCs/>
          <w:lang w:val="el" w:eastAsia="el"/>
        </w:rPr>
        <w:t>Αυτοτελές Τμήμα Υποστήριξης της Γενικής Διεύθυνσης Φορολογίας</w:t>
      </w:r>
    </w:p>
    <w:p>
      <w:pPr>
        <w:spacing w:before="240" w:after="240"/>
        <w:rPr>
          <w:lang w:val="el" w:eastAsia="el"/>
        </w:rPr>
      </w:pPr>
      <w:r>
        <w:rPr>
          <w:lang w:val="el" w:eastAsia="el"/>
        </w:rPr>
        <w:t xml:space="preserve">7. </w:t>
      </w:r>
      <w:r>
        <w:rPr>
          <w:b/>
          <w:bCs/>
          <w:lang w:val="el" w:eastAsia="el"/>
        </w:rPr>
        <w:t>Διεύθυνση Εφαρμογής Έμμεσης Φορολογίας</w:t>
      </w:r>
    </w:p>
    <w:p>
      <w:pPr>
        <w:spacing w:before="240" w:after="240"/>
        <w:rPr>
          <w:lang w:val="el" w:eastAsia="el"/>
        </w:rPr>
      </w:pPr>
      <w:r>
        <w:rPr>
          <w:lang w:val="el" w:eastAsia="el"/>
        </w:rPr>
        <w:t xml:space="preserve">8. </w:t>
      </w:r>
      <w:r>
        <w:rPr>
          <w:b/>
          <w:bCs/>
          <w:lang w:val="el" w:eastAsia="el"/>
        </w:rPr>
        <w:t>Δ/νση Ε.Φ.Κ. &amp; Φ.Π.Α</w:t>
      </w:r>
    </w:p>
    <w:p>
      <w:pPr>
        <w:spacing w:before="240" w:after="240"/>
        <w:rPr>
          <w:lang w:val="el" w:eastAsia="el"/>
        </w:rPr>
      </w:pPr>
      <w:r>
        <w:rPr>
          <w:lang w:val="el" w:eastAsia="el"/>
        </w:rPr>
        <w:t xml:space="preserve">9. </w:t>
      </w:r>
      <w:r>
        <w:rPr>
          <w:b/>
          <w:bCs/>
          <w:lang w:val="el" w:eastAsia="el"/>
        </w:rPr>
        <w:t>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w:t>
      </w:r>
    </w:p>
    <w:p>
      <w:pPr>
        <w:spacing w:before="240" w:after="240"/>
        <w:rPr>
          <w:lang w:val="el" w:eastAsia="el"/>
        </w:rPr>
      </w:pPr>
      <w:r>
        <w:rPr>
          <w:b/>
          <w:bCs/>
          <w:lang w:val="el" w:eastAsia="el"/>
        </w:rPr>
        <w:t>και Επιχειρησιακών Εφαρμογών (Δ.Α.Τ.Ε.)</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Β΄Απαιτήσεων και Ελέγχου Εφαρμογών Τελωνείων Τμήματα Ε΄, ΣΤ΄, Ζ΄,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