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ΑΔΑ: 6ΑΟΑ46ΜΠ32-5ΑΞ</w:t>
      </w:r>
    </w:p>
    <w:p>
      <w:pPr>
        <w:spacing w:before="240" w:after="240"/>
        <w:rPr>
          <w:lang w:val="el" w:eastAsia="el"/>
        </w:rPr>
      </w:pPr>
      <w:r>
        <w:rPr>
          <w:b/>
          <w:bCs/>
          <w:lang w:val="el" w:eastAsia="el"/>
        </w:rPr>
        <w:t>Α.Π.:Ε 2058</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ΔΙΑΔΙΚΑΣΙΩΝ ΕΙΣΠΡΑΞΕΩΝ ΚΑΙ ΕΠΙΣΤΡΟΦΩΝ</w:t>
      </w:r>
    </w:p>
    <w:p>
      <w:pPr>
        <w:spacing w:before="240" w:after="240"/>
        <w:rPr>
          <w:lang w:val="el" w:eastAsia="el"/>
        </w:rPr>
      </w:pPr>
      <w:r>
        <w:rPr>
          <w:b/>
          <w:bCs/>
          <w:lang w:val="el" w:eastAsia="el"/>
        </w:rPr>
        <w:t>ΤΜΗΜΑΤΑ Α΄, Β΄, Γ΄</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17778, Ταύρος</w:t>
      </w:r>
    </w:p>
    <w:p>
      <w:pPr>
        <w:spacing w:before="240" w:after="240"/>
        <w:rPr>
          <w:lang w:val="el" w:eastAsia="el"/>
        </w:rPr>
      </w:pPr>
      <w:r>
        <w:rPr>
          <w:b/>
          <w:bCs/>
          <w:lang w:val="el" w:eastAsia="el"/>
        </w:rPr>
        <w:t>Τηλέφωνο : 2131410115</w:t>
      </w:r>
    </w:p>
    <w:p>
      <w:pPr>
        <w:spacing w:before="240" w:after="240"/>
        <w:rPr>
          <w:lang w:val="el" w:eastAsia="el"/>
        </w:rPr>
      </w:pPr>
      <w:r>
        <w:rPr>
          <w:b/>
          <w:bCs/>
          <w:lang w:val="el" w:eastAsia="el"/>
        </w:rPr>
        <w:t>2131410110</w:t>
      </w:r>
    </w:p>
    <w:p>
      <w:pPr>
        <w:spacing w:before="240" w:after="240"/>
        <w:rPr>
          <w:lang w:val="el" w:eastAsia="el"/>
        </w:rPr>
      </w:pPr>
      <w:r>
        <w:rPr>
          <w:b/>
          <w:bCs/>
          <w:lang w:val="el" w:eastAsia="el"/>
        </w:rPr>
        <w:t>2131410106</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ΘΕΜΑ: Παροχή διευκρινίσεων σχετικά με την εξέταση των προϋποθέσεων για την έκδοση απόφασης αδρανοποίησης κατασχέσεων εις χείρας τρίτου σύμφωνα με το άρθρο 23 του ν. 4738/2020, όπως τροποποιήθηκε με το άρθρο 229 του ν. 5193/2025 (Α΄56/11-4-2025)</w:t>
      </w:r>
    </w:p>
    <w:p>
      <w:pPr>
        <w:spacing w:before="240" w:after="240"/>
        <w:rPr>
          <w:lang w:val="el" w:eastAsia="el"/>
        </w:rPr>
      </w:pPr>
      <w:r>
        <w:rPr>
          <w:b/>
          <w:bCs/>
          <w:lang w:val="el" w:eastAsia="el"/>
        </w:rPr>
        <w:t>Σχετ: 1. Η εγκύκλιος Ε. 2065/25-8-2022 του Διοικητή της Α.Α.Δ.Ε.</w:t>
      </w:r>
    </w:p>
    <w:p>
      <w:pPr>
        <w:spacing w:before="240" w:after="240"/>
        <w:rPr>
          <w:lang w:val="el" w:eastAsia="el"/>
        </w:rPr>
      </w:pPr>
      <w:r>
        <w:rPr>
          <w:b/>
          <w:bCs/>
          <w:lang w:val="el" w:eastAsia="el"/>
        </w:rPr>
        <w:t xml:space="preserve">2. </w:t>
      </w:r>
      <w:r>
        <w:rPr>
          <w:b/>
          <w:bCs/>
          <w:lang w:val="el" w:eastAsia="el"/>
        </w:rPr>
        <w:t>Η οδηγία Ο. 3018/25-4-2025 του Διοικητή της Α.Α.Δ.Ε.</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εξέταση συνδρομής των προϋποθέσεων για την έκδοση απόφασης αδρανοποίησης των κατασχέσεων απαιτήσεων κατά τις διατάξεις του άρθρου 23 του ν. 4738/2020, όπως τροποποιήθηκε με το άρθρο 229 του ν. 5193/2025 (Α΄56/11-4- 2025)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 τις ενέργειες στις οποίες πρέπει να προβαίνουν οι αρμόδιες υπηρεσίες της Φορολογικής Διοίκησης στο πλαίσιο της εξέτασης για τη συνδρομή ή μη των προϋποθέσεων έκδοσης απόφασης αδρανοποίησης κατασχέσεων εις χείρας τρίτου, σύμφωνα με το άρθρο 23 του ν. 4738/2020, ειδικά ως προς την προϋπόθεση υποβολής των προβλεπόμενων δηλώσεων φορολογίας εισοδήματος και φόρου προστιθέμενης αξίας, όπως διαμορφώθηκε μετά την τροποποίηση του ανωτέρω άρθρου με το άρθρο 229 του ν. 5193/2025.</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Υπηρεσίες της Φορολογικής Διοίκησης που είναι αρμόδιες για την επιδίωξη της είσπραξης οφειλών που έχουν υπαχθεί σε σύμβαση αναδιάρθρωσης σύμφωνα με τα άρθρα 5 - 30 ν. 4738/2020</w:t>
      </w:r>
    </w:p>
    <w:p>
      <w:pPr>
        <w:spacing w:before="240" w:after="240"/>
        <w:rPr>
          <w:lang w:val="el" w:eastAsia="el"/>
        </w:rPr>
      </w:pPr>
      <w:r>
        <w:rPr>
          <w:b/>
          <w:bCs/>
          <w:lang w:val="el" w:eastAsia="el"/>
        </w:rPr>
        <w:t xml:space="preserve">2. </w:t>
      </w:r>
      <w:r>
        <w:rPr>
          <w:b/>
          <w:bCs/>
          <w:lang w:val="el" w:eastAsia="el"/>
        </w:rPr>
        <w:t>Επιχειρησιακή Μονάδα Είσπραξης</w:t>
      </w:r>
    </w:p>
    <w:p>
      <w:pPr>
        <w:spacing w:before="240" w:after="240"/>
        <w:rPr>
          <w:lang w:val="el" w:eastAsia="el"/>
        </w:rPr>
      </w:pPr>
      <w:r>
        <w:rPr>
          <w:b/>
          <w:bCs/>
          <w:lang w:val="el" w:eastAsia="el"/>
        </w:rPr>
        <w:t xml:space="preserve">3. </w:t>
      </w:r>
      <w:r>
        <w:rPr>
          <w:b/>
          <w:bCs/>
          <w:lang w:val="el" w:eastAsia="el"/>
        </w:rPr>
        <w:t>Φυσικά και Νομικά Πρόσωπα που τηρούν τους όρους της σύμβασης αναδιάρθρωσης των άρθρων 5-30 του ν. 4738/2020 (Α΄207)</w:t>
      </w:r>
    </w:p>
    <w:p>
      <w:pPr>
        <w:spacing w:before="240" w:after="240"/>
        <w:rPr>
          <w:lang w:val="el" w:eastAsia="el"/>
        </w:rPr>
      </w:pPr>
      <w:r>
        <w:rPr>
          <w:b/>
          <w:bCs/>
          <w:lang w:val="el" w:eastAsia="el"/>
        </w:rPr>
        <w:t>Με το άρθρο 229 του ν. 5193/2025, το οποίο κοινοποιήθηκε με την οδηγία Ο. 3018/2025, τροποποιήθηκε το πρώτο εδάφιο της υποπερ. iii της περ. α΄ του άρθρου 23 του ν. 4738/2020, που ρυθμίζει τις προϋποθέσεις που πρέπει να συντρέχουν σωρευτικά για την έκδοση από τη Φορολογική Διοίκηση απόφασης αδρανοποίησης κατασχέσεων απαιτήσεων εις χείρας τρίτων μετά την έναρξη ισχύος (πολυμερούς ή διμερούς) σύμβασης αναδιάρθρωσης χρεών που έχει συναφθεί στο πλαίσιο του εξωδικαστικού μηχανισμού ρύθμισης οφειλών του νόμου αυτού.</w:t>
      </w:r>
    </w:p>
    <w:p>
      <w:pPr>
        <w:spacing w:before="240" w:after="240"/>
        <w:rPr>
          <w:lang w:val="el" w:eastAsia="el"/>
        </w:rPr>
      </w:pPr>
      <w:r>
        <w:rPr>
          <w:b/>
          <w:bCs/>
          <w:lang w:val="el" w:eastAsia="el"/>
        </w:rPr>
        <w:t>Συγκεκριμένα, τροποποιήθηκε η προϋπόθεση που αφορά την υποβολή από τον οφειλέτη που αιτείται την αδρανοποίηση των προβλεπόμενων δηλώσεων φορολογίας εισοδήματος και φόρου προστιθέμενης αξίας. Στη νέα διάταξη προβλέπεται, ως προϋπόθεση της αδρανοποίησης, «να έχουν υποβληθεί από τον οφειλέτη οι προβλεπόμενες δηλώσεις φορολογίας εισοδήματος και φόρου προστιθέμενης αξίας των τελευταίων πέντε (5) φορολογικών ετών, ανεξαρτήτως του εάν οι δηλώσεις έχουν υποβληθεί εκπρόθεσμα, σε κάθε δε περίπτωση να έχουν υποβληθεί πριν από την αίτηση του οφειλέτη για εξωδικαστική ρύθμιση των οφειλών».</w:t>
      </w:r>
    </w:p>
    <w:p>
      <w:pPr>
        <w:spacing w:before="240" w:after="240"/>
        <w:rPr>
          <w:lang w:val="el" w:eastAsia="el"/>
        </w:rPr>
      </w:pPr>
      <w:r>
        <w:rPr>
          <w:b/>
          <w:bCs/>
          <w:lang w:val="el" w:eastAsia="el"/>
        </w:rPr>
        <w:t>Για την ενιαία εφαρμογή της ανωτέρω προϋπόθεσης από τις αρμόδιες Υπηρεσίες της Α.Α.Δ.Ε. διευκρινίζεται ότι πρέπει πλέον να ελέγχεται μόνο αν πριν από την οριστική υποβολή της αίτησης για εξωδικαστική ρύθμιση των οφειλών κατ’ άρθρο 8 του ν. 4738/2020 έχουν υποβληθεί από τον οφειλέτη που αιτείται την αδρανοποίηση όλες οι προβλεπόμενες δηλώσεις φορολογίας εισοδήματος και φόρου προστιθέμενης αξίας των πέντε (5) τελευταίων φορολογικών ετών των οποίων η προθεσμία υποβολής έχει λήξει πριν από την ανωτέρω ημερομηνία, ανεξαρτήτως αν οι δηλώσεις αυτές υποβλήθηκαν εμπρόθεσμα ή όχι (αρκεί να έχουν υποβληθεί έως την προαναφερθείσα ημερομηνία).</w:t>
      </w:r>
    </w:p>
    <w:p>
      <w:pPr>
        <w:spacing w:before="240" w:after="240"/>
        <w:rPr>
          <w:lang w:val="el" w:eastAsia="el"/>
        </w:rPr>
      </w:pPr>
      <w:r>
        <w:rPr>
          <w:b/>
          <w:bCs/>
          <w:lang w:val="el" w:eastAsia="el"/>
        </w:rPr>
        <w:t>Διευκρινίζεται ότι κατόπιν της ανωτέρω νομοθετικής μεταβολής δεν ισχύουν πλέον οι διευκρινίσεις και οδηγίες που παρασχέθηκαν με την εγκύκλιο Ε. 2034/16-5-2024 (ΑΔΑ: 6ΓΛΞ46ΜΠ3Ζ-764), τα αναφερόμενα στο στοιχείο iii της παρ. 50 της εγκυκλίου Ε. 2065/25-82022 (ΑΔΑ: 6Ι8Ζ46ΜΠ3Ζ-9ΜΑ) καθώς και το «σχέδιο απόφασης αδρανοποίησης κατάσχεσης κατά την περ. α.iii. του άρθρου 23 του ν. 4738/2020», που είχε επισυναφθεί ως παράρτημα στην ανωτέρω εγκύκλιο, το οποίο αντικαθίσταται από το σχέδιο απόφασης που επισυνάπτεται στην παρούσα. Επιπλέον, στην παρούσα επισυνάπτεται σχέδιο για τη γνωστοποίηση στον τρίτο της παύσης ισχύος της απόφασης αδρανοποίησης.</w:t>
      </w:r>
    </w:p>
    <w:p>
      <w:pPr>
        <w:spacing w:before="240" w:after="240"/>
        <w:rPr>
          <w:lang w:val="el" w:eastAsia="el"/>
        </w:rPr>
      </w:pPr>
      <w:r>
        <w:rPr>
          <w:b/>
          <w:bCs/>
          <w:lang w:val="el" w:eastAsia="el"/>
        </w:rPr>
        <w:t>Κατά τα λοιπά, για την αδρανοποίηση κατασχέσεων ισχύουν τα αναφερόμενα στο Κεφάλαιο ΣΤ της Ε. 2065/25-8-2022.</w:t>
      </w:r>
    </w:p>
    <w:p>
      <w:pPr>
        <w:spacing w:before="240" w:after="240"/>
        <w:rPr>
          <w:lang w:val="el" w:eastAsia="el"/>
        </w:rPr>
      </w:pPr>
      <w:r>
        <w:rPr>
          <w:b/>
          <w:bCs/>
          <w:lang w:val="el" w:eastAsia="el"/>
        </w:rPr>
        <w:t>Παραρτήματα:</w:t>
      </w:r>
    </w:p>
    <w:p>
      <w:pPr>
        <w:spacing w:before="240" w:after="240"/>
        <w:rPr>
          <w:lang w:val="el" w:eastAsia="el"/>
        </w:rPr>
      </w:pPr>
      <w:r>
        <w:rPr>
          <w:b/>
          <w:bCs/>
          <w:lang w:val="el" w:eastAsia="el"/>
        </w:rPr>
        <w:t xml:space="preserve">1. </w:t>
      </w:r>
      <w:r>
        <w:rPr>
          <w:b/>
          <w:bCs/>
          <w:lang w:val="el" w:eastAsia="el"/>
        </w:rPr>
        <w:t>Σχέδιο απόφασης αδρανοποίησης κατάσχεσης κατά την της υποπερ. iii της περ. α΄ του άρθρου 23 του ν. 4738/2020</w:t>
      </w:r>
    </w:p>
    <w:p>
      <w:pPr>
        <w:spacing w:before="240" w:after="240"/>
        <w:rPr>
          <w:lang w:val="el" w:eastAsia="el"/>
        </w:rPr>
      </w:pPr>
      <w:r>
        <w:rPr>
          <w:b/>
          <w:bCs/>
          <w:lang w:val="el" w:eastAsia="el"/>
        </w:rPr>
        <w:t xml:space="preserve">2. </w:t>
      </w:r>
      <w:r>
        <w:rPr>
          <w:b/>
          <w:bCs/>
          <w:lang w:val="el" w:eastAsia="el"/>
        </w:rPr>
        <w:t>Σχέδιο γνωστοποίησης της παύσης ισχύος της απόφασης αδρανοποίησης</w:t>
      </w:r>
    </w:p>
    <w:p>
      <w:pPr>
        <w:spacing w:before="240" w:after="240"/>
        <w:rPr>
          <w:lang w:val="el" w:eastAsia="el"/>
        </w:rPr>
      </w:pPr>
      <w:r>
        <w:rPr>
          <w:b/>
          <w:bCs/>
          <w:lang w:val="el" w:eastAsia="el"/>
        </w:rPr>
        <w:t>Ο Διοικητής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Πινάκων Γ’ και Δ΄</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2.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5.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6. </w:t>
      </w:r>
      <w:r>
        <w:rPr>
          <w:b/>
          <w:bCs/>
          <w:lang w:val="el" w:eastAsia="el"/>
        </w:rPr>
        <w:t>Γενική Γραμματεία Χρηματοπιστωτικού Τομέα και Διαχείρισης Ιδιωτικού Χρέους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b/>
          <w:bCs/>
          <w:lang w:val="el" w:eastAsia="el"/>
        </w:rPr>
        <w:t xml:space="preserve">3. </w:t>
      </w:r>
      <w:r>
        <w:rPr>
          <w:b/>
          <w:bCs/>
          <w:lang w:val="el" w:eastAsia="el"/>
        </w:rPr>
        <w:t>Διεύθυνση Διαδικασιών Εισπράξεων και Επιστροφών – Τμήματα Α,Β,Γ, Γραμματεία</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