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Αθήνα, 26/08/2025</w:t>
      </w:r>
    </w:p>
    <w:p>
      <w:pPr>
        <w:pStyle w:val="Title"/>
        <w:spacing w:before="120" w:after="360"/>
        <w:rPr>
          <w:lang w:val="el" w:eastAsia="el"/>
        </w:rPr>
      </w:pPr>
      <w:r>
        <w:rPr>
          <w:b/>
          <w:bCs/>
          <w:lang w:val="el" w:eastAsia="el"/>
        </w:rPr>
        <w:t>Α.Π.: ΔΕΦΚΦ Β Ε2070 ΕΞ 2025</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ΤΕΛΩΝΕΙΩΝ ΚΑΙ ΕΦΚ</w:t>
      </w:r>
    </w:p>
    <w:p>
      <w:pPr>
        <w:pStyle w:val="PreambelText"/>
        <w:spacing w:before="240" w:after="240"/>
        <w:rPr>
          <w:lang w:val="el" w:eastAsia="el"/>
        </w:rPr>
      </w:pPr>
      <w:r>
        <w:rPr>
          <w:b/>
          <w:bCs/>
          <w:lang w:val="el" w:eastAsia="el"/>
        </w:rPr>
        <w:t>ΔΙΕΥΘΥΝΣΗ ΕΙΔΙΚΩΝ ΦΟΡΩΝ ΚΑΤΑΝΑΛΩΣΗΣ</w:t>
      </w:r>
    </w:p>
    <w:p>
      <w:pPr>
        <w:pStyle w:val="PreambelText"/>
        <w:spacing w:before="240" w:after="240"/>
        <w:rPr>
          <w:lang w:val="el" w:eastAsia="el"/>
        </w:rPr>
      </w:pPr>
      <w:r>
        <w:rPr>
          <w:b/>
          <w:bCs/>
          <w:lang w:val="el" w:eastAsia="el"/>
        </w:rPr>
        <w:t>ΚΑΙ ΦΠΑ</w:t>
      </w:r>
    </w:p>
    <w:p>
      <w:pPr>
        <w:pStyle w:val="PreambelText"/>
        <w:spacing w:before="240" w:after="240"/>
        <w:rPr>
          <w:lang w:val="el" w:eastAsia="el"/>
        </w:rPr>
      </w:pPr>
      <w:r>
        <w:rPr>
          <w:b/>
          <w:bCs/>
          <w:lang w:val="el" w:eastAsia="el"/>
        </w:rPr>
        <w:t>ΤΜΗΜΑΤΑ Β΄ &amp; Ε΄</w:t>
      </w:r>
    </w:p>
    <w:p>
      <w:pPr>
        <w:pStyle w:val="PreambelText"/>
        <w:spacing w:before="240" w:after="240"/>
        <w:rPr>
          <w:lang w:val="el" w:eastAsia="el"/>
        </w:rPr>
      </w:pPr>
      <w:r>
        <w:rPr>
          <w:b/>
          <w:bCs/>
          <w:lang w:val="el" w:eastAsia="el"/>
        </w:rPr>
        <w:t>ΙΙ. ΓΕΝΙΚΗ ΔΙΕΥΘΥΝΣΗ ΓΕΝΙΚΟΥ ΧΗΜΕΙΟΥ ΤΟΥ ΚΡΑΤΟΥΣ</w:t>
      </w:r>
    </w:p>
    <w:p>
      <w:pPr>
        <w:pStyle w:val="PreambelText"/>
        <w:spacing w:before="240" w:after="240"/>
        <w:rPr>
          <w:lang w:val="el" w:eastAsia="el"/>
        </w:rPr>
      </w:pPr>
      <w:r>
        <w:rPr>
          <w:b/>
          <w:bCs/>
          <w:lang w:val="el" w:eastAsia="el"/>
        </w:rPr>
        <w:t>ΔΙΕΥΘΥΝΣΗ ΑΛΚΟΟΛΗΣ ΚΑΙ ΤΡΟΦΙΜΩΝ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ΑΛΚΟΟΛΗΣ ΚΑΙ ΠΟΤΩΝ ΜΕ ΑΛΚΟΟΛΗ</w:t>
      </w:r>
    </w:p>
    <w:p>
      <w:pPr>
        <w:spacing w:before="240" w:after="240"/>
        <w:rPr>
          <w:lang w:val="el" w:eastAsia="el"/>
        </w:rPr>
      </w:pPr>
      <w:r>
        <w:rPr>
          <w:b/>
          <w:bCs/>
          <w:lang w:val="el" w:eastAsia="el"/>
        </w:rPr>
        <w:t>Ταχ. Δ/νση : Αν. Τσόχα 16</w:t>
      </w:r>
    </w:p>
    <w:p>
      <w:pPr>
        <w:spacing w:before="240" w:after="240"/>
        <w:rPr>
          <w:lang w:val="el" w:eastAsia="el"/>
        </w:rPr>
      </w:pPr>
      <w:r>
        <w:rPr>
          <w:b/>
          <w:bCs/>
          <w:lang w:val="el" w:eastAsia="el"/>
        </w:rPr>
        <w:t>Ταχ. Κώδικας : 11521, Αθήνα</w:t>
      </w:r>
    </w:p>
    <w:p>
      <w:pPr>
        <w:spacing w:before="240" w:after="240"/>
        <w:rPr>
          <w:lang w:val="el" w:eastAsia="el"/>
        </w:rPr>
      </w:pPr>
      <w:r>
        <w:rPr>
          <w:b/>
          <w:bCs/>
          <w:lang w:val="el" w:eastAsia="el"/>
        </w:rPr>
        <w:t>Πληροφορίες : Στ. Καραγιάννης</w:t>
      </w:r>
    </w:p>
    <w:p>
      <w:pPr>
        <w:spacing w:before="240" w:after="240"/>
        <w:rPr>
          <w:lang w:val="el" w:eastAsia="el"/>
        </w:rPr>
      </w:pPr>
      <w:r>
        <w:rPr>
          <w:b/>
          <w:bCs/>
          <w:lang w:val="el" w:eastAsia="el"/>
        </w:rPr>
        <w:t>Τηλέφωνο : 210 6479231</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dat.gcsl@aade.gr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σχετικά με την εφαρμογή της υπό στοιχεία Α. 1105/30-07-2025 απόφασης του Υφυπουργού Εθνικής Οικονομίας και Οικονομικών «Όροι και διατυπώσεις για την παραλαβή αιθυλικής αλκοόλης με απαλλαγή από τον Ειδικό Φόρο Κατανάλωσης, κατ’ εφαρμογή της περ. ιβ) της παρ. 1 του άρθρου 83 και του πρώτου εδαφίου της παρ. 36 του άρθρου 196 του ν. 5222/2025 (Α΄134)» (Β΄4161).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οδηγιών σχετικά με την εφαρμογή της υπό στοιχεία Α.1105/30-07-2025 απόφασης του Υφυπουργού Εθνικής Οικονομίας και Οικονομικών με θέμα</w:t>
      </w:r>
    </w:p>
    <w:p>
      <w:pPr>
        <w:spacing w:before="240" w:after="240"/>
        <w:rPr>
          <w:lang w:val="el" w:eastAsia="el"/>
        </w:rPr>
      </w:pPr>
      <w:r>
        <w:rPr>
          <w:b/>
          <w:bCs/>
          <w:lang w:val="el" w:eastAsia="el"/>
        </w:rPr>
        <w:t>«Όροι και διατυπώσεις για την παραλαβή αιθυλικής αλκοόλης με απαλλαγή από τον Ειδικό Φόρο Κατανάλωσης, κατ’ εφαρμογή της περ. ιβ) της παρ. 1 του άρθρου 83 και του πρώτου εδαφίου της παρ. 36 του άρθρου 196 του ν. 5222/2025 (Α΄134)» (Β΄4161).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αναφορικά με την εφαρμογή της υπό στοιχεία Α.1105/30-07-2025 απόφασης του Υφυπουργού Εθνικής Οικονομίας και Οικονομικών και ειδικότερα ως προς τις απώλειες της αιθυλικής αλκοόλης, τον καθορισμό της δυναμικότητας της παραγωγικής μονάδας καθώς και τον τρόπο συμπλήρωσης των τελωνειακών παραστατικών που υποβάλλονται για την παραλαβή με απαλλαγή της αιθυλικής αλκοόλης από τον ΕΦΚ.</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στις:</w:t>
      </w:r>
    </w:p>
    <w:p>
      <w:pPr>
        <w:pStyle w:val="StructureList1"/>
        <w:spacing w:before="120" w:after="0"/>
        <w:rPr>
          <w:lang w:val="el" w:eastAsia="el"/>
        </w:rPr>
      </w:pPr>
      <w:r>
        <w:rPr>
          <w:b/>
          <w:bCs/>
          <w:lang w:val="el" w:eastAsia="el"/>
        </w:rPr>
        <w:t>α)</w:t>
      </w:r>
      <w:r>
        <w:rPr>
          <w:b/>
          <w:bCs/>
          <w:lang w:val="en" w:eastAsia="en"/>
        </w:rPr>
        <w:tab/>
      </w:r>
      <w:r>
        <w:rPr>
          <w:b/>
          <w:bCs/>
          <w:lang w:val="el" w:eastAsia="el"/>
        </w:rPr>
        <w:t>νόμιμα λειτουργούσες βιομηχανίες/βιοτεχνίες που χρησιμοποιούν την αιθυλική αλκοόλη του άρθρου 80 του Εθνικού Τελωνειακού Κώδικα (ν. 5222/2025, Α΄134), ως πρώτη ύλη για την παραγωγή φυτικών εκχυλισμάτων, τα οποία στη τελική μορφή τους δεν υπόκεινται σε Ε.Φ.Κ., β) Τελωνειακές Αρχές της Ανεξάρτητης Αρχής Δημοσίων Εσόδων, οι οποίες είναι αρμόδιες για τη χορήγηση της απαλλαγής της αιθυλικής αλκοόλης από τον Ε.Φ.Κ, την παρακολούθηση και τον έλεγχο διαπίστωσης της νόμιμης χρήσης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Χημικές Υπηρεσίες της Γενικής Διεύθυνσης του Γενικού Χημείου του Κράτους, οι οποίες είναι αρμόδιες για τον καθορισμό της δυναμικότητας των μονάδων παραγωγής των δικαιούχων προσώπων και τη διεξαγωγή τυχόν βιομηχανικού πειράματος.</w:t>
      </w:r>
    </w:p>
    <w:p>
      <w:pPr>
        <w:spacing w:before="240" w:after="240"/>
        <w:rPr>
          <w:lang w:val="el" w:eastAsia="el"/>
        </w:rPr>
      </w:pPr>
      <w:r>
        <w:rPr>
          <w:b/>
          <w:bCs/>
          <w:lang w:val="el" w:eastAsia="el"/>
        </w:rPr>
        <w:t>Για την εφαρμογή της ανωτέρω υπό στοιχεία Α.1105/30-07-2025 απόφασης Υφυπουργού Εθνικής Οικονομίας και Οικονομικών (Β΄4161) παρέχονται οι ακόλουθες οδηγίες:</w:t>
      </w:r>
    </w:p>
    <w:p>
      <w:pPr>
        <w:spacing w:before="240" w:after="240"/>
        <w:rPr>
          <w:lang w:val="el" w:eastAsia="el"/>
        </w:rPr>
      </w:pPr>
      <w:r>
        <w:rPr>
          <w:b/>
          <w:bCs/>
          <w:lang w:val="el" w:eastAsia="el"/>
        </w:rPr>
        <w:t xml:space="preserve">1. </w:t>
      </w:r>
      <w:r>
        <w:rPr>
          <w:b/>
          <w:bCs/>
          <w:lang w:val="el" w:eastAsia="el"/>
        </w:rPr>
        <w:t>Σχετικά με τις απώλειες (φύρα) της αιθυλικής αλκοόλης που προκύπτουν κατά την παραγωγική διαδικασία, σύμφωνα με τα ειδικότερα οριζόμενα στο άρθρο 4 της απόφασης, αναφέρεται ότι αυτή, ενδεικτικά, δύναται να συνίσταται σε απώλεια, λόγω απορρόφησης αιθυλικής αλκοόλης από τα φυτικά αποσπάσματα, από τα οποία εξάγεται το τελικό προϊόν –μη υποκείμενο σε Ε.Φ.Κ - φυτικό εκχύλισμα ή λόγω εξάτμισης αυτής.</w:t>
      </w:r>
    </w:p>
    <w:p>
      <w:pPr>
        <w:spacing w:before="240" w:after="240"/>
        <w:rPr>
          <w:lang w:val="el" w:eastAsia="el"/>
        </w:rPr>
      </w:pPr>
      <w:r>
        <w:rPr>
          <w:b/>
          <w:bCs/>
          <w:lang w:val="el" w:eastAsia="el"/>
        </w:rPr>
        <w:t xml:space="preserve">2. </w:t>
      </w:r>
      <w:r>
        <w:rPr>
          <w:b/>
          <w:bCs/>
          <w:lang w:val="el" w:eastAsia="el"/>
        </w:rPr>
        <w:t>Επισημαίνεται ότι, κατά το στάδιο καθορισμού της δυναμικότητας της παραγωγικής μονάδας, η αρμόδια επιτροπή της παρ. 3 του άρθρου 3 της απόφασης, δύναται να ζητήσει, εφόσον κριθεί απαραίτητο, από τη Χημική Υπηρεσία Ελέγχου τη διεξαγωγή βιομηχανικού πειράματος για ένα συγκεκριμένο προϊόν από αυτά που έχουν δηλωθεί ως παραγόμενα, δειγματοληπτικά, αλλά και ενδεικτικά.</w:t>
      </w:r>
    </w:p>
    <w:p>
      <w:pPr>
        <w:spacing w:before="240" w:after="240"/>
        <w:rPr>
          <w:lang w:val="el" w:eastAsia="el"/>
        </w:rPr>
      </w:pPr>
      <w:r>
        <w:rPr>
          <w:b/>
          <w:bCs/>
          <w:lang w:val="el" w:eastAsia="el"/>
        </w:rPr>
        <w:t xml:space="preserve">3. </w:t>
      </w:r>
      <w:r>
        <w:rPr>
          <w:b/>
          <w:bCs/>
          <w:lang w:val="el" w:eastAsia="el"/>
        </w:rPr>
        <w:t>Σχετικά με τη διακίνηση της αιθυλικής αλκοόλης προς τη μονάδα παραγωγής της ενδιαφερόμενης βιομηχανίας/βιοτεχνίας, σύμφωνα με το άρθρο 5 της απόφασης, επισημαίνεται ότι εφαρμόζονται τα οριζόμενα στην υπό στοιχεία Ε.2037/23.05.2024 εγκύκλιο του Διοικητή της Α.Α.Δ.Ε. με θέμα «Παροχή οδηγιών αναφορικά με τις διακινήσεις προϊόντων υποκείμενων σε ειδικό φόρο κατανάλωσης (ΕΦΚ) μέσω του ψηφιακού συστήματος EMCS» (ΑΔΑ:67Β546ΜΠ3Ζ-ΦΒΗ), καθώς και στον Κανονισμό (ΕΕ) 2022/1636 της Επιτροπής της 5ης Ιουλίου 2022 για τη συμπλήρωση της οδηγίας (ΕΕ) 2020/262 του Συμβουλίου με τον καθορισμό της διάρθρωσης και του περιεχομένου των εγγράφων που ανταλλάσσονται στο πλαίσιο της διακίνησης υποκείμενων σε ειδικό φόρο κατανάλωσης προϊόντων και τον καθορισμό κατώτατου ορίου για τις απώλειες που οφείλονται στη φύση των προϊόντων (L 247), με τον οποίο παρέχονται, μεταξύ άλλων, οδηγίες για τον τρόπο συμπλήρωσης των πεδίων του σχεδίου e-ΔΕ (ΙΕ 815), καθώς και για τα λοιπά μηνύματα, τα οποία χρησιμοποιούνται για τους σκοπούς της διακίνησης και παραλαβής των προϊόντων που υπόκεινται σε Ε.Φ.Κ.</w:t>
      </w:r>
    </w:p>
    <w:p>
      <w:pPr>
        <w:spacing w:before="240" w:after="240"/>
        <w:rPr>
          <w:lang w:val="el" w:eastAsia="el"/>
        </w:rPr>
      </w:pPr>
      <w:r>
        <w:rPr>
          <w:b/>
          <w:bCs/>
          <w:lang w:val="el" w:eastAsia="el"/>
        </w:rPr>
        <w:t xml:space="preserve">Σημειώνεται ότι σε περίπτωση εισαγωγής της αιθυλικής αλκοόλης από τρίτη χώρα απαιτείται η τήρηση της ισχύουσας για την εισαγωγή τελωνειακής διαδικασίας και η υποβολή των προβλεπόμενων για αυτήν τελωνειακών παραστατικών και ειδικότερα, προκειμένου για τη θέση των προϊόντων σε ελεύθερη κυκλοφορία απαιτείται η υποβολή της τελωνειακής διασάφησης, σύμφωνα με τα οριζόμενα στην υπό στοιχεία Δ19Α/5041357ΕΞ/28-11-2013 εγκύκλιο με θέμα «Οδηγίες για τη διαδικασία ηλεκτρονικής υποβολής της τελωνειακής διασάφησης και λοιπών τελωνειακών παραστατικών στα πλαίσια λειτουργίας του υποσυστήματος Εισαγωγών του ICISnet» (ΑΔΑ: ΒΛ12Η-ΑΝΝ), καθώς και στην υπό στοιχεία Α.1023/12.02.2025 απόφαση του Διοικητή της ΑΑΔΕ με θέμα </w:t>
      </w:r>
      <w:r>
        <w:rPr>
          <w:b/>
          <w:bCs/>
          <w:lang w:val="el" w:eastAsia="el"/>
        </w:rPr>
        <w:t>«</w:t>
      </w:r>
      <w:r>
        <w:rPr>
          <w:b/>
          <w:bCs/>
          <w:lang w:val="el" w:eastAsia="el"/>
        </w:rPr>
        <w:t xml:space="preserve">Υποχρεωτική ψηφιακή υποβολή των υποστηρικτικών της διασάφησης εισαγωγής εγγράφων - Τήρηση αρχείου» (Β΄844). Μετά τη θέση σε ελεύθερη κυκλοφορία η διακίνηση των προϊόντων προς τη φορολογική αποθήκη πραγματοποιείται, υπό καθεστώς αναστολής, με την υποβολή του Ηλεκτρονικού Διοικητικού Εγγράφου (e-ΔΕ), σύμφωνα με τα διαλαμβανόμενα στην υπό στοιχεία Ε.2037/23.05.2024 εγκύκλιο του Διοικητή της Α.Α.Δ.Ε </w:t>
      </w:r>
      <w:r>
        <w:rPr>
          <w:b/>
          <w:bCs/>
          <w:i/>
          <w:iCs/>
          <w:lang w:val="el" w:eastAsia="el"/>
        </w:rPr>
        <w:t xml:space="preserve">(παρ. 1α της υποενότητας Γ. της Ενότητας ΙΙΙ. ΔΙΑΚΙΝΗΣΕΙΣ ΠΡΟΪΟΝΤΩΝ ΕΦΚ -ΜΗΝΥΜΑΤΑ </w:t>
      </w:r>
      <w:r>
        <w:rPr>
          <w:b/>
          <w:bCs/>
          <w:i/>
          <w:iCs/>
          <w:lang w:val="el" w:eastAsia="el"/>
        </w:rPr>
        <w:t>EMCS).</w:t>
      </w:r>
    </w:p>
    <w:p>
      <w:pPr>
        <w:spacing w:before="240" w:after="240"/>
        <w:rPr>
          <w:lang w:val="el" w:eastAsia="el"/>
        </w:rPr>
      </w:pPr>
      <w:r>
        <w:rPr>
          <w:b/>
          <w:bCs/>
          <w:lang w:val="el" w:eastAsia="el"/>
        </w:rPr>
        <w:t>Προκειμένου για την ορθή συμπλήρωση της Δήλωσης Ε.Φ.Κ., η οποία υποβάλλεται,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παρατίθενται οι κωδικοί ατέλειας που αναγράφονται, ανά περίπτωση, στο πεδίο 37 β) «Ατέλεια» της Δήλωσης Ε.Φ.Κ. και ειδικότερα: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2"/>
        <w:gridCol w:w="5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ICISNET -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Δήλωση Ειδικού Φόρου</w:t>
            </w:r>
          </w:p>
          <w:p>
            <w:pPr>
              <w:spacing w:before="240"/>
              <w:rPr>
                <w:b w:val="0"/>
                <w:bCs w:val="0"/>
                <w:i w:val="0"/>
                <w:iCs w:val="0"/>
                <w:smallCaps w:val="0"/>
                <w:color w:val="000000"/>
                <w:lang w:val="el" w:eastAsia="el"/>
              </w:rPr>
            </w:pPr>
            <w:r>
              <w:rPr>
                <w:b w:val="0"/>
                <w:bCs w:val="0"/>
                <w:i w:val="0"/>
                <w:iCs w:val="0"/>
                <w:smallCaps w:val="0"/>
                <w:color w:val="000000"/>
                <w:lang w:val="el" w:eastAsia="el"/>
              </w:rPr>
              <w:t>Κατανάλωσης η οποία υποβάλλεται μόνο για τη βεβαίωση και τη χορήγηση της απαλλαγής από τον Ε.Φ.Κ. (παρ. 2 άρθρο 5 της Α. 1105/3007-2025 ΑΥΟ)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62«ΑΠΑΛΛΑΓΗ Ε.Φ.Κ. ΠΕΡ.1. ιβ) ΑΡΘΡΟ 83 του ΕΘΝΙΚΟΥ ΤΕΛΩΝΕΙΑΚΟΥ ΚΩΔΙΚΑ (ΠΑΡΑΓΩΓΗ ΦΥΤΙΚΩΝ ΕΚΧΥΛΙΣΜΑΤΩΝ)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Ε.Φ.Κ. με ταυτόχρονη καταβολή του Φ.Π.Α., σύμφωνα με το τελευταίο εδάφιο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63«ΑΠΑΛΛΑΓΗ Ε.Φ.Κ. ΠΕΡ.1. ιβ) ΑΡΘΡΟ 83 του ΕΘΝΙΚΟΥ ΤΕΛΩΝΕΙΑΚΟΥ ΚΩΔΙΚΑ (ΠΑΡΑΓΩΓΗ ΦΥΤΙΚΩΝ ΕΚΧΥΛΙΣΜΑΤΩΝ) - ΚΑΤΑΒΟΛΗ ΦΠΑ»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17"/>
        <w:gridCol w:w="25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5 της Α.1105/30-07-2025 ΑΥΟ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Συγκεντρωτική Δήλωση Ε.Φ.Κ. της παρ. 4 του άρθρου 5 για την καταβολή του Φ.Π.Α. στις 25 του επόμενου μήνα από τον μήνα εξόδου της αιθυλικής αλκοόλης από τη φορολογική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64«Ο Ε.Φ.Κ. ΕΧΕΙ ΒΕΒΑΙΩΘΕΙ ΜΕ ΑΠΑΛΛΑΓΗ .ΚΑΤΑΒΟΛΗ ΦΠΑ»</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αναγράφονται οι κωδικοί των προβλεπόμενων στην εν λόγω απόφαση υποστηρικτικών έγγραφων της Δήλωσης Ε.Φ.Κ. στο πεδίο 44.2 «Επισυναπτόμενα Έγγραφα» αυτής,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1681"/>
        <w:gridCol w:w="69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ΣΥΓΚΕΝΤΡΩΤΙΚΗ ΚΑΤΑΣΤΑΣΗ ΜΕ ΠΟΣΟΤΗΤΕΣ ΑΙΘΥΛΙΚΗΣ ΑΛΚΟΟΛΗΣ ΚΑΙ ΔΕΛΤΙΑ ΠΑΡΑΓΩΓΗΣ (ΠΑΡ.1. ΠΕΡ ιβ) ΑΡΘΡΟ 83 ΤΟΥ ΕΘΝΙΚΟΥ ΤΕΛΩΝΕΙΑΚΟΥ ΚΩΔΙΚΑ ΠΑΡΑΓΩΓΗ ΦΥΤΙΚΩΝ ΕΚΧΥΛΙΣΜΑΤΩΝ)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1E65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ΑΠΟΦΑΣΗ ΕΓΚΡΙΣΗΣ ΠΑΡΑΛΑΒΗΣ ΑΙΘΥΛΙΚΗΣ ΑΛΚΟΟΛΗΣ ΜΕ ΑΠΑΛΛΑΓΗ ΑΠΟ Ε.Φ.Κ. (ΠΑΡ. 1 ΑΡΘΡΟ 83 ΤΟΥ ν.2960/01).</w:t>
            </w:r>
          </w:p>
        </w:tc>
      </w:tr>
    </w:tbl>
    <w:p>
      <w:pPr>
        <w:spacing w:before="240" w:after="240"/>
        <w:rPr>
          <w:lang w:val="el" w:eastAsia="el"/>
        </w:rPr>
      </w:pPr>
      <w:r>
        <w:rPr>
          <w:b/>
          <w:bCs/>
          <w:lang w:val="el" w:eastAsia="el"/>
        </w:rPr>
        <w:t>Τέλος, επισημαίνεται ότι τα υποστηρικτικά έγγραφα συνυποβάλλονται, ψηφιακά, με την υποβολή του κατά περίπτωση παραστατικού και την απόδοση σε αυτό του Αριθμού Αναφοράς (MRN), κατ’ εφαρμογή της υπό στοιχεία Α.1437/20-11-2019 απόφασης του Διοικητή της ΑΑΔΕ (Β΄ 4443).</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Τελωνεία Α΄, Β΄ &amp; Γ΄ Τάξης</w:t>
      </w:r>
    </w:p>
    <w:p>
      <w:pPr>
        <w:spacing w:before="240" w:after="240"/>
        <w:rPr>
          <w:lang w:val="el" w:eastAsia="el"/>
        </w:rPr>
      </w:pPr>
      <w:r>
        <w:rPr>
          <w:b/>
          <w:bCs/>
          <w:lang w:val="el" w:eastAsia="el"/>
        </w:rPr>
        <w:t xml:space="preserve">2. </w:t>
      </w:r>
      <w:r>
        <w:rPr>
          <w:b/>
          <w:bCs/>
          <w:lang w:val="el" w:eastAsia="el"/>
        </w:rPr>
        <w:t>Χημικές Υπηρεσίες Γ.Δ. Γ.Χ.Κ.</w:t>
      </w:r>
    </w:p>
    <w:p>
      <w:pPr>
        <w:spacing w:before="240" w:after="240"/>
        <w:rPr>
          <w:lang w:val="el" w:eastAsia="el"/>
        </w:rPr>
      </w:pPr>
      <w:r>
        <w:rPr>
          <w:b/>
          <w:bCs/>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r>
        <w:rPr>
          <w:b/>
          <w:bCs/>
          <w:lang w:val="el" w:eastAsia="el"/>
        </w:rPr>
        <w:t xml:space="preserve"> </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Δ/νση Νομικής Υποστήριξης Α.Α.Δ.Ε.</w:t>
      </w:r>
    </w:p>
    <w:p>
      <w:pPr>
        <w:spacing w:before="240" w:after="240"/>
        <w:rPr>
          <w:lang w:val="el" w:eastAsia="el"/>
        </w:rPr>
      </w:pPr>
      <w:r>
        <w:rPr>
          <w:b/>
          <w:bCs/>
          <w:lang w:val="el" w:eastAsia="el"/>
        </w:rPr>
        <w:t xml:space="preserve">4. </w:t>
      </w:r>
      <w:r>
        <w:rPr>
          <w:b/>
          <w:bCs/>
          <w:lang w:val="el" w:eastAsia="el"/>
        </w:rPr>
        <w:t>Αυτοτελές Τμήμα Διεθνών Τελωνειακών Σχέσεων (Α.Τ.ΔΙ.Τ.Σ.)</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b/>
          <w:bCs/>
          <w:lang w:val="el" w:eastAsia="el"/>
        </w:rPr>
        <w:t xml:space="preserve">6. </w:t>
      </w:r>
      <w:r>
        <w:rPr>
          <w:b/>
          <w:bCs/>
          <w:lang w:val="el" w:eastAsia="el"/>
        </w:rPr>
        <w:t>Δ/νση Εσωτερικού Ελέγχου Α.Α.Δ.Ε</w:t>
      </w:r>
    </w:p>
    <w:p>
      <w:pPr>
        <w:spacing w:before="240" w:after="240"/>
        <w:rPr>
          <w:lang w:val="el" w:eastAsia="el"/>
        </w:rPr>
      </w:pPr>
      <w:r>
        <w:rPr>
          <w:b/>
          <w:bCs/>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b/>
          <w:bCs/>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b/>
          <w:bCs/>
          <w:lang w:val="el" w:eastAsia="el"/>
        </w:rPr>
        <w:t xml:space="preserve">9. </w:t>
      </w:r>
      <w:r>
        <w:rPr>
          <w:b/>
          <w:bCs/>
          <w:lang w:val="el" w:eastAsia="el"/>
        </w:rPr>
        <w:t>Γενική Διεύθυνση Διαχείρισης Ανθρώπινου Δυναμικού και Οργάνωσης Α.Α.Δ.Ε. α) Διεύθυνση Οργάνωσης</w:t>
      </w:r>
    </w:p>
    <w:p>
      <w:pPr>
        <w:spacing w:before="240" w:after="240"/>
        <w:rPr>
          <w:lang w:val="el" w:eastAsia="el"/>
        </w:rPr>
      </w:pPr>
      <w:r>
        <w:rPr>
          <w:b/>
          <w:bCs/>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11. </w:t>
      </w:r>
      <w:r>
        <w:rPr>
          <w:b/>
          <w:bCs/>
          <w:lang w:val="el" w:eastAsia="el"/>
        </w:rPr>
        <w:t>Γενική Διεύθυνση του Γενικού Χημείου του Κράτους Διεύθυνση Αλκοόλης και Τροφίμων</w:t>
      </w:r>
    </w:p>
    <w:p>
      <w:pPr>
        <w:spacing w:before="240" w:after="240"/>
        <w:rPr>
          <w:lang w:val="el" w:eastAsia="el"/>
        </w:rPr>
      </w:pPr>
      <w:r>
        <w:rPr>
          <w:b/>
          <w:bCs/>
          <w:lang w:val="el" w:eastAsia="el"/>
        </w:rPr>
        <w:t xml:space="preserve">12. </w:t>
      </w:r>
      <w:r>
        <w:rPr>
          <w:b/>
          <w:bCs/>
          <w:lang w:val="el" w:eastAsia="el"/>
        </w:rPr>
        <w:t>Οικονομικό Επιμελητήριο Ελλάδος 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13. </w:t>
      </w:r>
      <w:r>
        <w:rPr>
          <w:b/>
          <w:bCs/>
          <w:lang w:val="el" w:eastAsia="el"/>
        </w:rPr>
        <w:t>Κεντρική Ένωση Επιμελητηρίων Ελλάδος 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14. </w:t>
      </w:r>
      <w:r>
        <w:rPr>
          <w:b/>
          <w:bCs/>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15.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16. </w:t>
      </w:r>
      <w:r>
        <w:rPr>
          <w:b/>
          <w:bCs/>
          <w:lang w:val="el" w:eastAsia="el"/>
        </w:rPr>
        <w:t>Σύνδεσμος Ελληνικών Βιομηχανιών</w:t>
      </w:r>
    </w:p>
    <w:p>
      <w:pPr>
        <w:spacing w:before="240" w:after="240"/>
        <w:rPr>
          <w:lang w:val="el" w:eastAsia="el"/>
        </w:rPr>
      </w:pPr>
      <w:r>
        <w:rPr>
          <w:b/>
          <w:bCs/>
          <w:lang w:val="el" w:eastAsia="el"/>
        </w:rPr>
        <w:t>(Με την παράκληση να ενημερώσει τα μέλη του) (Σ.Ε.Β.)</w:t>
      </w:r>
    </w:p>
    <w:p>
      <w:pPr>
        <w:spacing w:before="240" w:after="240"/>
        <w:rPr>
          <w:lang w:val="el" w:eastAsia="el"/>
        </w:rPr>
      </w:pPr>
      <w:r>
        <w:rPr>
          <w:b/>
          <w:bCs/>
          <w:lang w:val="el" w:eastAsia="el"/>
        </w:rPr>
        <w:t>Ξενοφώντος 5, Τ.Κ. 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17.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11"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18.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19.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info@seaop.gr</w:t>
        </w:r>
      </w:hyperlink>
      <w:r>
        <w:rPr>
          <w:b/>
          <w:bCs/>
          <w:lang w:val="el" w:eastAsia="el"/>
        </w:rPr>
        <w:t>,</w:t>
      </w:r>
      <w:hyperlink r:id="rId13"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20. </w:t>
      </w:r>
      <w:r>
        <w:rPr>
          <w:b/>
          <w:bCs/>
          <w:lang w:val="el" w:eastAsia="el"/>
        </w:rPr>
        <w:t>Ένωση Επιχειρήσεων Αλκοολούχων Ποτών (ΕΝ.Ε.Α.Π.) Κρώμνης 47, ΤΚ 164 52 - Αργυρούπολη Με την παράκληση να ενημερώσει τα μέλη του) e-mail :</w:t>
      </w:r>
      <w:hyperlink r:id="rId14"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21. </w:t>
      </w:r>
      <w:r>
        <w:rPr>
          <w:b/>
          <w:bCs/>
          <w:lang w:val="el" w:eastAsia="el"/>
        </w:rPr>
        <w:t>«Ένωση Ποτοποιών Καβάλας Α.Ε» e-mail:</w:t>
      </w:r>
      <w:hyperlink r:id="rId15"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22.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23. </w:t>
      </w:r>
      <w:r>
        <w:rPr>
          <w:b/>
          <w:bCs/>
          <w:lang w:val="el" w:eastAsia="el"/>
        </w:rPr>
        <w:t>BGS ALCOHOLS ΜΟΝΟΠΡΟΣΩΠΗ Α.Ε.</w:t>
      </w:r>
    </w:p>
    <w:p>
      <w:pPr>
        <w:spacing w:before="240" w:after="240"/>
        <w:rPr>
          <w:lang w:val="el" w:eastAsia="el"/>
        </w:rPr>
      </w:pPr>
      <w:r>
        <w:rPr>
          <w:b/>
          <w:bCs/>
          <w:lang w:val="el" w:eastAsia="el"/>
        </w:rPr>
        <w:t>Ακτή Δυμαίων 87-89 Πάτρα</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info@spiliopoulos.gr</w:t>
        </w:r>
      </w:hyperlink>
    </w:p>
    <w:p>
      <w:pPr>
        <w:spacing w:before="240" w:after="240"/>
        <w:rPr>
          <w:lang w:val="el" w:eastAsia="el"/>
        </w:rPr>
      </w:pPr>
      <w:r>
        <w:rPr>
          <w:b/>
          <w:bCs/>
          <w:lang w:val="el" w:eastAsia="el"/>
        </w:rPr>
        <w:t xml:space="preserve">24. </w:t>
      </w:r>
      <w:r>
        <w:rPr>
          <w:b/>
          <w:bCs/>
          <w:lang w:val="el" w:eastAsia="el"/>
        </w:rPr>
        <w:t>«ALCOVIN»</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info@alcovin.gr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Ειδικών Καθεστώτων και Απαλλαγών ε Διεύθυνση Στρατηγικής Τελωνειακών Ελέγχων και Παραβάσεων (Δ.Σ.Τ.Ε.Π)</w:t>
      </w:r>
    </w:p>
    <w:p>
      <w:pPr>
        <w:spacing w:before="240" w:after="240"/>
        <w:rPr>
          <w:lang w:val="el" w:eastAsia="el"/>
        </w:rPr>
      </w:pPr>
      <w:r>
        <w:rPr>
          <w:b/>
          <w:bCs/>
          <w:lang w:val="el" w:eastAsia="el"/>
        </w:rPr>
        <w:t xml:space="preserve">3. </w:t>
      </w:r>
      <w:r>
        <w:rPr>
          <w:b/>
          <w:bCs/>
          <w:lang w:val="el" w:eastAsia="el"/>
        </w:rPr>
        <w:t>Γενική Δ/νση Γενικού Χημείου του Κράτους</w:t>
      </w:r>
    </w:p>
    <w:p>
      <w:pPr>
        <w:spacing w:before="240" w:after="240"/>
        <w:rPr>
          <w:lang w:val="el" w:eastAsia="el"/>
        </w:rPr>
      </w:pPr>
      <w:r>
        <w:rPr>
          <w:b/>
          <w:bCs/>
          <w:lang w:val="el" w:eastAsia="el"/>
        </w:rPr>
        <w:t>α. Προϊσταμένη Γενικής Δ/νσης</w:t>
      </w:r>
    </w:p>
    <w:p>
      <w:pPr>
        <w:spacing w:before="240" w:after="240"/>
        <w:rPr>
          <w:lang w:val="el" w:eastAsia="el"/>
        </w:rPr>
      </w:pPr>
      <w:r>
        <w:rPr>
          <w:b/>
          <w:bCs/>
          <w:lang w:val="el" w:eastAsia="el"/>
        </w:rPr>
        <w:t>β. Δ/νση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enapape@gmail.com" TargetMode="External" /><Relationship Id="rId17" Type="http://schemas.openxmlformats.org/officeDocument/2006/relationships/hyperlink" Target="mailto:info@spiliopoulos.gr" TargetMode="External" /><Relationship Id="rId18" Type="http://schemas.openxmlformats.org/officeDocument/2006/relationships/hyperlink" Target="mailto:info@alcovin.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