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Φ.Π.Α.</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 xml:space="preserve">17778 , Ταύρος 213140152, 158 </w:t>
      </w:r>
      <w:hyperlink r:id="rId4" w:history="1">
        <w:r>
          <w:rPr>
            <w:rStyle w:val="Hyperlink"/>
            <w:b/>
            <w:bCs/>
            <w:color w:val="0000EE"/>
            <w:u w:color="0000EE"/>
            <w:lang w:val="el" w:eastAsia="el"/>
          </w:rPr>
          <w:t>deef.a@aade.gr</w:t>
        </w:r>
      </w:hyperlink>
    </w:p>
    <w:p>
      <w:pPr>
        <w:spacing w:before="240" w:after="240"/>
        <w:rPr>
          <w:lang w:val="el" w:eastAsia="el"/>
        </w:rPr>
      </w:pPr>
      <w:r>
        <w:rPr>
          <w:b/>
          <w:bCs/>
          <w:lang w:val="el" w:eastAsia="el"/>
        </w:rPr>
        <w:t>ΘΕΜΑ: Κοινοποίηση της με αριθμό 18/2025 Γνωμοδότησης του Ε΄Τμήματος του ΝΣΚ σχετικά με τη φορολογική αντιμετώπιση του ΦΠΑ που επιβαρύνονται οι δαπάνες της Κοινοπολιτειακής Επιτροπής Στρατιωτικών Τάφων (Commonwealth War Graves Commission - CWGC).</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ΑΝΤΙΚΕΙΜΕΝΟΗ Εγκύκλιος αφορά στην κοινοποίηση της υπ’ αριθμ. 18/2025 Γνωμοδότησης του ΝΣΚ.</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Η εν θέματι γνωμοδότηση έγινε αποδεκτή από τον Διοικητή της ΑΑΔΕ και αναφέρεται στην αντιμετώπιση του ΦΠΑ στην αγορά αγαθών και τη λήψη υπηρεσιών που πραγματοποιεί στο εσωτερικό της χώρας η Κοινοπολιτειακή Επιτροπή Στρατιωτικών Τάφων στο πλαίσιο της δραστηριότητάς της για τη συντήρηση των ευρισκόμενων επί του ελληνικού εδάφους μνημείων, τάφων και νεκροταφείων των πεσόντων κατά τη διάρκεια του Α΄ και του Β΄ Παγκοσμίου Πολέμου, ως κρατικό βάρος από το οποίο απαλλάσσεται βάσει του άρ.9 του ν.δ 164/1969.</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γνωμοδότηση αφορά τους υποκείμενους προμηθευτές αγαθών και παρόχους υπηρεσιών στην Κοινοπολιτειακή Επιτροπή Στρατιωτικών Τάφων, τις φορολογικές και ελεγκτικές αρχές της ΑΑΔΕ και τα μέλη της Κοινοπολιτειακής Επιτροπής Στρατιωτικών Τάφων.</w:t>
      </w:r>
    </w:p>
    <w:p>
      <w:pPr>
        <w:spacing w:before="240" w:after="240"/>
        <w:rPr>
          <w:lang w:val="el" w:eastAsia="el"/>
        </w:rPr>
      </w:pPr>
      <w:r>
        <w:rPr>
          <w:b/>
          <w:bCs/>
          <w:lang w:val="el" w:eastAsia="el"/>
        </w:rPr>
        <w:t>Κοινοποιούμε τη με αριθμό 18/2025 Γνωμοδότηση του Νομικού Συμβουλίου του Κράτους, σχετικά με τη φορολογική αντιμετώπιση από πλευράς ΦΠΑ στην αγορά αγαθών και τη λήψη υπηρεσιών που πραγματοποιεί στο εσωτερικό της χώρας η Κοινοπολιτειακή Επιτροπή Στρατιωτικών Τάφων στο πλαίσιο της δραστηριότητάς της για τη συντήρηση των ευρισκόμενων επί του ελληνικού εδάφους μνημείων, τάφων και νεκροταφείων των πεσόντων κατά τη διάρκεια των Α και Β Παγκόσμιων Πολέμων.</w:t>
      </w:r>
    </w:p>
    <w:p>
      <w:pPr>
        <w:spacing w:before="240" w:after="240"/>
        <w:rPr>
          <w:lang w:val="el" w:eastAsia="el"/>
        </w:rPr>
      </w:pPr>
      <w:r>
        <w:rPr>
          <w:b/>
          <w:bCs/>
          <w:lang w:val="el" w:eastAsia="el"/>
        </w:rPr>
        <w:t xml:space="preserve">Με την ως άνω γνωμοδότηση έγινε κατά πλειοψηφία δεκτό ότι </w:t>
      </w:r>
      <w:r>
        <w:rPr>
          <w:b/>
          <w:bCs/>
          <w:i/>
          <w:iCs/>
          <w:lang w:val="el" w:eastAsia="el"/>
        </w:rPr>
        <w:t xml:space="preserve">«…σύμφωνα με το άρθρο 351 της ΣΛΕΕ και το άρθρο 9 παρ. 1 της από 22-10-1968 «Συμφωνίας μεταξύ της Ελληνικής Βασιλικής Κυβερνήσεως αφ’ ενός και των Κυβερνήσεων Αυστραλίας, Καναδά, Ινδίας, Νέας Ζηλανδίας, Πακιστάν, Νοτίου Αφρικής, Ηνωμένου Βασιλείου Μεγάλης Βρετανίας και Βορείου Ιρλανδίας αφετέρου περί των εν Ελλάδι τάφων των </w:t>
      </w:r>
      <w:r>
        <w:rPr>
          <w:b/>
          <w:bCs/>
          <w:i/>
          <w:iCs/>
          <w:lang w:val="el" w:eastAsia="el"/>
        </w:rPr>
        <w:t xml:space="preserve">μελών των στρατιωτικών δυνάμεων την Κοινοπολιτείας», που κυρώθηκε με το ν.δ. </w:t>
      </w:r>
      <w:r>
        <w:rPr>
          <w:b/>
          <w:bCs/>
          <w:i/>
          <w:iCs/>
          <w:lang w:val="el" w:eastAsia="el"/>
        </w:rPr>
        <w:t xml:space="preserve">164/1969 (Α΄97), </w:t>
      </w:r>
      <w:r>
        <w:rPr>
          <w:b/>
          <w:bCs/>
          <w:i/>
          <w:iCs/>
          <w:lang w:val="el" w:eastAsia="el"/>
        </w:rPr>
        <w:t xml:space="preserve">η Κοινοπολιτειακή Επιτροπή Στρατιωτικών Τάφων </w:t>
      </w:r>
      <w:r>
        <w:rPr>
          <w:b/>
          <w:bCs/>
          <w:i/>
          <w:iCs/>
          <w:lang w:val="el" w:eastAsia="el"/>
        </w:rPr>
        <w:t xml:space="preserve">(Commonwealth War Graves Commission – CWGC) </w:t>
      </w:r>
      <w:r>
        <w:rPr>
          <w:b/>
          <w:bCs/>
          <w:i/>
          <w:iCs/>
          <w:lang w:val="el" w:eastAsia="el"/>
        </w:rPr>
        <w:t xml:space="preserve">δικαιούται απαλλαγής από την καταβολή του φόρου προστιθέμενης αξίας (Φ.Π.Α.) για την αγορά αγαθών και υπηρεσιών στην Ελλάδα, στο πλαίσιο της δραστηριότητάς της για τη συντήρηση των μνημείων, των τάφων και των νεκροταφείων των πεσόντων κατά τη διάρκεια του </w:t>
      </w:r>
      <w:r>
        <w:rPr>
          <w:b/>
          <w:bCs/>
          <w:i/>
          <w:iCs/>
          <w:lang w:val="el" w:eastAsia="el"/>
        </w:rPr>
        <w:t xml:space="preserve">Α΄ </w:t>
      </w:r>
      <w:r>
        <w:rPr>
          <w:b/>
          <w:bCs/>
          <w:i/>
          <w:iCs/>
          <w:lang w:val="el" w:eastAsia="el"/>
        </w:rPr>
        <w:t xml:space="preserve">και του </w:t>
      </w:r>
      <w:r>
        <w:rPr>
          <w:b/>
          <w:bCs/>
          <w:i/>
          <w:iCs/>
          <w:lang w:val="el" w:eastAsia="el"/>
        </w:rPr>
        <w:t xml:space="preserve">Β΄ </w:t>
      </w:r>
      <w:r>
        <w:rPr>
          <w:b/>
          <w:bCs/>
          <w:i/>
          <w:iCs/>
          <w:lang w:val="el" w:eastAsia="el"/>
        </w:rPr>
        <w:t>Παγκοσμίου Πολέμου</w:t>
      </w:r>
      <w:r>
        <w:rPr>
          <w:b/>
          <w:bCs/>
          <w:i/>
          <w:iCs/>
          <w:lang w:val="el" w:eastAsia="el"/>
        </w:rPr>
        <w:t>...»</w:t>
      </w:r>
    </w:p>
    <w:p>
      <w:pPr>
        <w:spacing w:before="240" w:after="240"/>
        <w:rPr>
          <w:lang w:val="el" w:eastAsia="el"/>
        </w:rPr>
      </w:pPr>
      <w:r>
        <w:rPr>
          <w:b/>
          <w:bCs/>
          <w:lang w:val="el" w:eastAsia="el"/>
        </w:rPr>
        <w:t>Η εν θέματι γνωμοδότηση έγινε αποδεκτή από τον Διοικητή της ΑΑΔΕ και επισυνάπτεται ως έχει προς ενημέρωσή σας.</w:t>
      </w:r>
    </w:p>
    <w:p>
      <w:pPr>
        <w:spacing w:before="240" w:after="240"/>
        <w:rPr>
          <w:lang w:val="el" w:eastAsia="el"/>
        </w:rPr>
      </w:pPr>
      <w:r>
        <w:rPr>
          <w:b/>
          <w:bCs/>
          <w:lang w:val="el" w:eastAsia="el"/>
        </w:rPr>
        <w:t>Με απόφαση Υπουργού Οικονομικών θα καθορισθεί η διαδικασία χορήγησης της απαλλαγής.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1 και 2</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για ανάρτηση στην ιστοσελίδα της ΑΑΔΕ και την Ηλεκτρονική Βιβλιοθήκη της ΑΑΔΕ.</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 1 και 2</w:t>
      </w:r>
    </w:p>
    <w:p>
      <w:pPr>
        <w:spacing w:before="240" w:after="240"/>
        <w:rPr>
          <w:lang w:val="el" w:eastAsia="el"/>
        </w:rPr>
      </w:pPr>
      <w:r>
        <w:rPr>
          <w:lang w:val="el" w:eastAsia="el"/>
        </w:rPr>
        <w:t xml:space="preserve">4. </w:t>
      </w:r>
      <w:r>
        <w:rPr>
          <w:b/>
          <w:bCs/>
          <w:lang w:val="el" w:eastAsia="el"/>
        </w:rPr>
        <w:t>Αποδέκτες Πίνακα Ζ, πλην των αριθ. 2, 5 και 6.</w:t>
      </w:r>
    </w:p>
    <w:p>
      <w:pPr>
        <w:spacing w:before="240" w:after="240"/>
        <w:rPr>
          <w:lang w:val="el" w:eastAsia="el"/>
        </w:rPr>
      </w:pPr>
      <w:r>
        <w:rPr>
          <w:lang w:val="el" w:eastAsia="el"/>
        </w:rPr>
        <w:t xml:space="preserve">5. </w:t>
      </w:r>
      <w:r>
        <w:rPr>
          <w:b/>
          <w:bCs/>
          <w:lang w:val="el" w:eastAsia="el"/>
        </w:rPr>
        <w:t>Αποδέκτες Πίνακα Η΄πλην των 4, 10 και 11.</w:t>
      </w:r>
    </w:p>
    <w:p>
      <w:pPr>
        <w:spacing w:before="240" w:after="240"/>
        <w:rPr>
          <w:lang w:val="el" w:eastAsia="el"/>
        </w:rPr>
      </w:pPr>
      <w:r>
        <w:rPr>
          <w:lang w:val="el" w:eastAsia="el"/>
        </w:rPr>
        <w:t xml:space="preserve">6. </w:t>
      </w:r>
      <w:r>
        <w:rPr>
          <w:b/>
          <w:bCs/>
          <w:lang w:val="el" w:eastAsia="el"/>
        </w:rPr>
        <w:t>Αποδέκτες Πίνακα Θ΄ μόνο οι αριθ. 10, 17 και 20.</w:t>
      </w:r>
    </w:p>
    <w:p>
      <w:pPr>
        <w:spacing w:before="240" w:after="240"/>
        <w:rPr>
          <w:lang w:val="el" w:eastAsia="el"/>
        </w:rPr>
      </w:pPr>
      <w:r>
        <w:rPr>
          <w:lang w:val="el" w:eastAsia="el"/>
        </w:rPr>
        <w:t xml:space="preserve">7. </w:t>
      </w:r>
      <w:r>
        <w:rPr>
          <w:b/>
          <w:bCs/>
          <w:lang w:val="el" w:eastAsia="el"/>
        </w:rPr>
        <w:t>Αποδέκτες Πίνακα ΙΒ</w:t>
      </w:r>
    </w:p>
    <w:p>
      <w:pPr>
        <w:spacing w:before="240" w:after="240"/>
        <w:rPr>
          <w:lang w:val="el" w:eastAsia="el"/>
        </w:rPr>
      </w:pPr>
      <w:r>
        <w:rPr>
          <w:lang w:val="el" w:eastAsia="el"/>
        </w:rPr>
        <w:t xml:space="preserve">8.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9.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10. </w:t>
      </w:r>
      <w:r>
        <w:rPr>
          <w:b/>
          <w:bCs/>
          <w:lang w:val="el" w:eastAsia="el"/>
        </w:rPr>
        <w:t>Γραφείο Γεν. Γραμματέως Φορολογικής Πολιτικής</w:t>
      </w:r>
    </w:p>
    <w:p>
      <w:pPr>
        <w:spacing w:before="240" w:after="240"/>
        <w:rPr>
          <w:lang w:val="el" w:eastAsia="el"/>
        </w:rPr>
      </w:pPr>
      <w:r>
        <w:rPr>
          <w:lang w:val="el" w:eastAsia="el"/>
        </w:rPr>
        <w:t xml:space="preserve">11.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lang w:val="el" w:eastAsia="el"/>
        </w:rPr>
        <w:t xml:space="preserve">12. </w:t>
      </w:r>
      <w:r>
        <w:rPr>
          <w:b/>
          <w:bCs/>
          <w:lang w:val="el" w:eastAsia="el"/>
        </w:rPr>
        <w:t>Κοινοπολιτειακή Επιτροπή Στρατιωτικών Τάφων</w:t>
      </w:r>
    </w:p>
    <w:p>
      <w:pPr>
        <w:spacing w:before="240" w:after="240"/>
        <w:rPr>
          <w:lang w:val="el" w:eastAsia="el"/>
        </w:rPr>
      </w:pPr>
      <w:r>
        <w:rPr>
          <w:lang w:val="el" w:eastAsia="el"/>
        </w:rPr>
        <w:t xml:space="preserve">13. </w:t>
      </w:r>
      <w:r>
        <w:rPr>
          <w:b/>
          <w:bCs/>
          <w:lang w:val="el" w:eastAsia="el"/>
        </w:rPr>
        <w:t>Νομικό Συμβούλιο του Κράτους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Γραφείο κ. κ. Γενικών Διευθυντών</w:t>
      </w:r>
    </w:p>
    <w:p>
      <w:pPr>
        <w:spacing w:before="240" w:after="240"/>
        <w:rPr>
          <w:lang w:val="el" w:eastAsia="el"/>
        </w:rPr>
      </w:pPr>
      <w:r>
        <w:rPr>
          <w:lang w:val="el" w:eastAsia="el"/>
        </w:rPr>
        <w:t xml:space="preserve">4. </w:t>
      </w:r>
      <w:r>
        <w:rPr>
          <w:b/>
          <w:bCs/>
          <w:lang w:val="el" w:eastAsia="el"/>
        </w:rPr>
        <w:t>Διεύθυνση Νομικής Υποστήριξης της Α.Α.Δ. Ε</w:t>
      </w:r>
    </w:p>
    <w:p>
      <w:pPr>
        <w:spacing w:before="240" w:after="240"/>
        <w:rPr>
          <w:lang w:val="el" w:eastAsia="el"/>
        </w:rPr>
      </w:pPr>
      <w:r>
        <w:rPr>
          <w:lang w:val="el" w:eastAsia="el"/>
        </w:rPr>
        <w:t xml:space="preserve">5. </w:t>
      </w:r>
      <w:r>
        <w:rPr>
          <w:b/>
          <w:bCs/>
          <w:lang w:val="el" w:eastAsia="el"/>
        </w:rPr>
        <w:t>Διεύθυνση Εφαρμογής Έμμεσης Φορολογίας, Τμήμα Α΄</w:t>
      </w:r>
    </w:p>
    <w:p>
      <w:pPr>
        <w:spacing w:before="240" w:after="240"/>
        <w:rPr>
          <w:lang w:val="el" w:eastAsia="el"/>
        </w:rPr>
      </w:pPr>
      <w:r>
        <w:rPr>
          <w:lang w:val="el" w:eastAsia="el"/>
        </w:rPr>
        <w:t xml:space="preserve">6. </w:t>
      </w:r>
      <w:r>
        <w:rPr>
          <w:b/>
          <w:bCs/>
          <w:lang w:val="el" w:eastAsia="el"/>
        </w:rPr>
        <w:t>Διεύθυνση Ελεγκτικών Διαδικασιών</w:t>
      </w:r>
    </w:p>
    <w:p>
      <w:pPr>
        <w:spacing w:before="240" w:after="240"/>
        <w:rPr>
          <w:lang w:val="el" w:eastAsia="el"/>
        </w:rPr>
      </w:pPr>
      <w:r>
        <w:rPr>
          <w:lang w:val="el" w:eastAsia="el"/>
        </w:rPr>
        <w:t xml:space="preserve">7. </w:t>
      </w:r>
      <w:r>
        <w:rPr>
          <w:b/>
          <w:bCs/>
          <w:lang w:val="el" w:eastAsia="el"/>
        </w:rPr>
        <w:t>Διεύθυνση Επιχειρησιακών Διαδικασιών</w:t>
      </w:r>
    </w:p>
    <w:p>
      <w:pPr>
        <w:spacing w:before="240" w:after="240"/>
        <w:rPr>
          <w:lang w:val="el" w:eastAsia="el"/>
        </w:rPr>
      </w:pPr>
      <w:r>
        <w:rPr>
          <w:lang w:val="el" w:eastAsia="el"/>
        </w:rPr>
        <w:t xml:space="preserve">8. </w:t>
      </w:r>
      <w:r>
        <w:rPr>
          <w:b/>
          <w:bCs/>
          <w:lang w:val="el" w:eastAsia="el"/>
        </w:rPr>
        <w:t>Διεύθυνση Ανάπτυξης Φορολογικών Εφαρμογών</w:t>
      </w:r>
    </w:p>
    <w:p>
      <w:pPr>
        <w:spacing w:before="240" w:after="240"/>
        <w:rPr>
          <w:lang w:val="el" w:eastAsia="el"/>
        </w:rPr>
      </w:pPr>
      <w:r>
        <w:rPr>
          <w:lang w:val="el" w:eastAsia="el"/>
        </w:rPr>
        <w:t xml:space="preserve">9. </w:t>
      </w:r>
      <w:r>
        <w:rPr>
          <w:b/>
          <w:bCs/>
          <w:lang w:val="el" w:eastAsia="el"/>
        </w:rPr>
        <w:t>Διεύθυνση ΕΦΚ &amp;ΦΠΑ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