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09/10/2025</w:t>
      </w:r>
    </w:p>
    <w:p>
      <w:pPr>
        <w:pStyle w:val="PreambelText"/>
        <w:spacing w:before="240" w:after="240"/>
        <w:rPr>
          <w:lang w:val="el" w:eastAsia="el"/>
        </w:rPr>
      </w:pPr>
      <w:r>
        <w:rPr>
          <w:lang w:val="el" w:eastAsia="el"/>
        </w:rPr>
        <w:t>Α. Π.: Εισερχ. Ε2087</w:t>
      </w:r>
    </w:p>
    <w:p>
      <w:pPr>
        <w:pStyle w:val="PreambelText"/>
        <w:spacing w:before="240" w:after="240"/>
        <w:rPr>
          <w:lang w:val="el" w:eastAsia="el"/>
        </w:rPr>
      </w:pPr>
      <w:r>
        <w:rPr>
          <w:lang w:val="el" w:eastAsia="el"/>
        </w:rPr>
        <w:t>Α. Π. Αποστολέα: Ε2087 Ημ/νία Αποστολής: 09/10/2025</w:t>
      </w:r>
    </w:p>
    <w:p>
      <w:pPr>
        <w:pStyle w:val="PreambelText"/>
        <w:spacing w:before="240" w:after="240"/>
        <w:rPr>
          <w:lang w:val="el" w:eastAsia="el"/>
        </w:rPr>
      </w:pPr>
      <w:r>
        <w:rPr>
          <w:b/>
          <w:bCs/>
          <w:lang w:val="el" w:eastAsia="el"/>
        </w:rPr>
        <w:t>ΑΔΑ: Ψ40746ΜΠ3Ζ-Ν8Β</w:t>
      </w:r>
    </w:p>
    <w:p>
      <w:pPr>
        <w:pStyle w:val="PreambelText"/>
        <w:spacing w:before="240" w:after="240"/>
        <w:rPr>
          <w:lang w:val="el" w:eastAsia="el"/>
        </w:rPr>
      </w:pPr>
      <w:r>
        <w:rPr>
          <w:b/>
          <w:bCs/>
          <w:lang w:val="el" w:eastAsia="el"/>
        </w:rPr>
        <w:t>Αθήνα, 8 Οκτωβρίου 2025</w:t>
      </w:r>
    </w:p>
    <w:p>
      <w:pPr>
        <w:pStyle w:val="PreambelText"/>
        <w:spacing w:before="240" w:after="240"/>
        <w:rPr>
          <w:lang w:val="el" w:eastAsia="el"/>
        </w:rPr>
      </w:pPr>
      <w:r>
        <w:rPr>
          <w:b/>
          <w:bCs/>
          <w:lang w:val="el" w:eastAsia="el"/>
        </w:rPr>
        <w:t>Ε. 2087</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ΕΛΕΓΚΤΙΚΩΝ ΔΙΑΔΙΚΑΣΙΩΝ (ΔΙ.ΕΛ.ΔΙ.)</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Αττικής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E-Mail</w:t>
      </w:r>
    </w:p>
    <w:p>
      <w:pPr>
        <w:spacing w:before="240" w:after="240"/>
        <w:rPr>
          <w:lang w:val="el" w:eastAsia="el"/>
        </w:rPr>
      </w:pPr>
      <w:r>
        <w:rPr>
          <w:b/>
          <w:bCs/>
          <w:lang w:val="el" w:eastAsia="el"/>
        </w:rPr>
        <w:t>Θέμα: Παροχή διευκρινίσεων σχετικά με την εκτύπωση των εκδιδόμενων φορολογικών στοιχείων λιανικής κατά τις διελεύσεις από κλειστούς αυτοκινητοδρόμους ή γέφυρες.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εκτύπωση των φορολογικών στοιχείων εσόδων κατά τις διελεύσεις από κλειστούς αυτοκινητοδρόμους ή γέφυρες με διόδια.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παρέχονται οδηγίες και διευκρινίσεις σχετικά με την υποχρέωση εκτύπωσης των προβλεπόμενων φορολογικών στοιχείων εσόδων κατά την είσπραξη διοδίων.</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Οντότητες του άρθρου 1 του ν.4308/2014 (Α’ 251)</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Με την παρούσα εγκύκλιο παρέχονται διευκρινίσεις σχετικά με την υποχρέωση εκτύπωσης των προβλεπόμενων φορολογικών στοιχείων εσόδων κατά την είσπραξη διοδίων στις διελεύσεις από κλειστούς αυτοκινητοδρόμους ή γέφυρες ως εξής:</w:t>
      </w:r>
    </w:p>
    <w:p>
      <w:pPr>
        <w:spacing w:before="240" w:after="240"/>
        <w:rPr>
          <w:lang w:val="el" w:eastAsia="el"/>
        </w:rPr>
      </w:pPr>
      <w:r>
        <w:rPr>
          <w:lang w:val="el" w:eastAsia="el"/>
        </w:rPr>
        <w:t xml:space="preserve">1. </w:t>
      </w:r>
      <w:r>
        <w:rPr>
          <w:b/>
          <w:bCs/>
          <w:lang w:val="el" w:eastAsia="el"/>
        </w:rPr>
        <w:t>Σύμφωνα με την παρ. 1 του άρθρου 12 του ν. 4308/2014 (Α’ 251)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w:t>
      </w:r>
    </w:p>
    <w:p>
      <w:pPr>
        <w:spacing w:before="240" w:after="240"/>
        <w:rPr>
          <w:lang w:val="el" w:eastAsia="el"/>
        </w:rPr>
      </w:pPr>
      <w:r>
        <w:rPr>
          <w:lang w:val="el" w:eastAsia="el"/>
        </w:rPr>
        <w:t xml:space="preserve">2. </w:t>
      </w:r>
      <w:r>
        <w:rPr>
          <w:b/>
          <w:bCs/>
          <w:lang w:val="el" w:eastAsia="el"/>
        </w:rPr>
        <w:t>Κατά την διέλευση οχημάτων από κλειστούς αυτοκινητοδρόμους ή γέφυρες, οι Παραχωρησιούχοι, για σκοπούς καταγραφής των διελεύσεων και είσπραξης των αντίστοιχων τελών, λειτουργούν σύγχρονα ηλεκτρονικά συστήματα είσπραξης και διαχείρισης διοδίων. Τα εν λόγω συστήματα πληρούν συγκεκριμένες τεχνικές προδιαγραφές, οι οποίες προβλέπονται ρητά από τις Συμβάσεις Παραχώρησης που έχουν συνάψει με το Ελληνικό Δημόσιο. Η κάθε διέλευση καταγράφεται από το σύστημα διοδίων, παρέχοντας πληροφορίες για την ημερομηνία, την ώρα, τον τύπο του οχήματος και το σημείο διέλευσης. Επιπλέον, σύμφωνα με το άρθρο 5 της υπό στοιχεία Α. 1066/2025 (Β’ 2271) απόφασης του Διοικητή της ΑΑΔΕ, οι παραχωρησιούχοι των ελληνικών αυτοκινητοδρόμων αποστέλλουν στη Γενική Διεύθυνση Ηλεκτρονικής Διακυβέρνησης (Γ.Δ.ΗΛΕ.Δ.) της ΑΑΔΕ σε τακτική βάση και όχι πέραν της εβδομάδας, κρυπτογραφημένο ηλεκτρονικό αρχείο με τους αριθμούς κυκλοφορίας των διερχομένων από τα διόδια οχημάτων ανά ημέρα, καθώς και τον Μοναδικό Αριθμό Διέλευσης.</w:t>
      </w:r>
    </w:p>
    <w:p>
      <w:pPr>
        <w:spacing w:before="240" w:after="240"/>
        <w:rPr>
          <w:lang w:val="el" w:eastAsia="el"/>
        </w:rPr>
      </w:pPr>
      <w:r>
        <w:rPr>
          <w:lang w:val="el" w:eastAsia="el"/>
        </w:rPr>
        <w:t xml:space="preserve">3. </w:t>
      </w:r>
      <w:r>
        <w:rPr>
          <w:b/>
          <w:bCs/>
          <w:lang w:val="el" w:eastAsia="el"/>
        </w:rPr>
        <w:t>Περαιτέρω, η Ελλάδα ως μέλος της Ευρωπαϊκής Ένωσης (ΕΕ) έχει υιοθετήσει μια πολύπλευρη προσέγγιση για τη μείωση της κατανάλωσης χαρτιού, με στόχο την προώθηση της βιωσιμότητας, τη μείωση των περιβαλλοντικών επιπτώσεων και τη στήριξη της μετάβασης σε μια κυκλική οικονομία, συμμετέχοντας σε δύο βασικές στρατηγικές και πρωτοβουλίες:</w:t>
      </w:r>
    </w:p>
    <w:p>
      <w:pPr>
        <w:pStyle w:val="StructureList1"/>
        <w:spacing w:before="120" w:after="0"/>
        <w:rPr>
          <w:lang w:val="el" w:eastAsia="el"/>
        </w:rPr>
      </w:pPr>
      <w:r>
        <w:rPr>
          <w:lang w:val="el" w:eastAsia="el"/>
        </w:rPr>
        <w:t>α)</w:t>
      </w:r>
      <w:r>
        <w:rPr>
          <w:lang w:val="en" w:eastAsia="en"/>
        </w:rPr>
        <w:tab/>
      </w:r>
      <w:r>
        <w:rPr>
          <w:b/>
          <w:bCs/>
          <w:lang w:val="el" w:eastAsia="el"/>
        </w:rPr>
        <w:t>την Ευρωπαϊκή Πράσινη Συμφωνία, η οποία ενθαρρύνει την ψηφιοποίηση και την αποϋλοποίηση των διοικητικών και επιχειρηματικών διαδικασιών για τη μείωση της χρήσης χαρτιού και β) το σχέδιο δράσης για την κυκλική οικονομία, το οποίο προωθεί την αποδοτικότητα των πόρων και τη μείωση των αποβλήτων, συμπεριλαμβανομένης της μείωσης των απορριμμάτων χαρτιού.</w:t>
      </w:r>
    </w:p>
    <w:p>
      <w:pPr>
        <w:spacing w:before="240" w:after="240"/>
        <w:rPr>
          <w:lang w:val="el" w:eastAsia="el"/>
        </w:rPr>
      </w:pPr>
      <w:r>
        <w:rPr>
          <w:lang w:val="el" w:eastAsia="el"/>
        </w:rPr>
        <w:t xml:space="preserve">4. </w:t>
      </w:r>
      <w:r>
        <w:rPr>
          <w:b/>
          <w:bCs/>
          <w:lang w:val="el" w:eastAsia="el"/>
        </w:rPr>
        <w:t>Τέλος, σημειώνεται ότι η εκτύπωση των φορολογικών παραστατικών στα διόδια δημιουργεί χρονική καθυστέρηση και επιβάρυνση συνολική του περιβάλλοντος.</w:t>
      </w:r>
    </w:p>
    <w:p>
      <w:pPr>
        <w:spacing w:before="240" w:after="240"/>
        <w:rPr>
          <w:lang w:val="el" w:eastAsia="el"/>
        </w:rPr>
      </w:pPr>
      <w:r>
        <w:rPr>
          <w:lang w:val="el" w:eastAsia="el"/>
        </w:rPr>
        <w:t xml:space="preserve">5. </w:t>
      </w:r>
      <w:r>
        <w:rPr>
          <w:b/>
          <w:bCs/>
          <w:lang w:val="el" w:eastAsia="el"/>
        </w:rPr>
        <w:t>Λαμβάνοντας υπόψη τα ανωτέρω, την ανάγκη μείωσης χρήσης χαρτιού και απορριμμάτων και δεδομένου ότι τα προβλεπόμενα φορολογικά στοιχεία κατά την διέλευση των οχημάτων εκδίδονται υποχρεωτικά, με την παρούσα γίνεται δεκτό ότι η σχετική απόδειξη παροχής υπηρεσιών για τη διέλευση οχημάτων από κλειστούς αυτοκινητοδρόμους ή γέφυρες δύναται να μην εκτυπώνεται, εφόσον κατόπιν ενημέρωσής του, ο πελάτης επιλέγει την μη εκτύπωσή της.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4.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5.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6.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7. </w:t>
      </w:r>
      <w:r>
        <w:rPr>
          <w:b/>
          <w:bCs/>
          <w:lang w:val="el" w:eastAsia="el"/>
        </w:rPr>
        <w:t>Όλες οι Φορολογικές Περιφέρειες</w:t>
      </w:r>
    </w:p>
    <w:p>
      <w:pPr>
        <w:spacing w:before="240" w:after="240"/>
        <w:rPr>
          <w:lang w:val="el" w:eastAsia="el"/>
        </w:rPr>
      </w:pPr>
      <w:r>
        <w:rPr>
          <w:lang w:val="el" w:eastAsia="el"/>
        </w:rPr>
        <w:t xml:space="preserve">8.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6. </w:t>
      </w:r>
      <w:r>
        <w:rPr>
          <w:b/>
          <w:bCs/>
          <w:lang w:val="el" w:eastAsia="el"/>
        </w:rPr>
        <w:t>Διεύθυνση Εξυπηρέτησης (Δ.ΕΞΥ.)</w:t>
      </w:r>
    </w:p>
    <w:p>
      <w:pPr>
        <w:spacing w:before="240" w:after="240"/>
        <w:rPr>
          <w:lang w:val="el" w:eastAsia="el"/>
        </w:rPr>
      </w:pPr>
      <w:r>
        <w:rPr>
          <w:lang w:val="el" w:eastAsia="el"/>
        </w:rPr>
        <w:t xml:space="preserve">7. </w:t>
      </w:r>
      <w:r>
        <w:rPr>
          <w:b/>
          <w:bCs/>
          <w:lang w:val="el" w:eastAsia="el"/>
        </w:rPr>
        <w:t>Αποδέκτες Πίνακα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4.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5.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6. </w:t>
      </w:r>
      <w:r>
        <w:rPr>
          <w:b/>
          <w:bCs/>
          <w:lang w:val="el" w:eastAsia="el"/>
        </w:rPr>
        <w:t>Διεύθυνση Νομικής υποστήριξης της ΑΑΔΕ</w:t>
      </w:r>
    </w:p>
    <w:p>
      <w:pPr>
        <w:spacing w:before="240" w:after="240"/>
        <w:rPr>
          <w:lang w:val="el" w:eastAsia="el"/>
        </w:rPr>
      </w:pPr>
      <w:r>
        <w:rPr>
          <w:lang w:val="el" w:eastAsia="el"/>
        </w:rPr>
        <w:t xml:space="preserve">7. </w:t>
      </w:r>
      <w:r>
        <w:rPr>
          <w:b/>
          <w:bCs/>
          <w:lang w:val="el" w:eastAsia="el"/>
        </w:rPr>
        <w:t>Φορολογική και Τελωνειακή Ακαδημία</w:t>
      </w:r>
    </w:p>
    <w:p>
      <w:pPr>
        <w:spacing w:before="240" w:after="240"/>
        <w:rPr>
          <w:lang w:val="el" w:eastAsia="el"/>
        </w:rPr>
      </w:pPr>
      <w:r>
        <w:rPr>
          <w:lang w:val="el" w:eastAsia="el"/>
        </w:rPr>
        <w:t xml:space="preserve">8. </w:t>
      </w:r>
      <w:r>
        <w:rPr>
          <w:b/>
          <w:bCs/>
          <w:lang w:val="el" w:eastAsia="el"/>
        </w:rPr>
        <w:t>Δ/νση Ελεγκτικών Διαδικασιών- Τμήματα Α’ και Β’</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