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18/12/2025</w:t>
      </w:r>
    </w:p>
    <w:p>
      <w:pPr>
        <w:pStyle w:val="Title"/>
        <w:spacing w:before="120" w:after="360"/>
        <w:rPr>
          <w:lang w:val="el" w:eastAsia="el"/>
        </w:rPr>
      </w:pPr>
      <w:r>
        <w:rPr>
          <w:lang w:val="el" w:eastAsia="el"/>
        </w:rPr>
        <w:t>Α. Π.: Εισερχ. Ε2104</w:t>
      </w:r>
    </w:p>
    <w:p>
      <w:pPr>
        <w:pStyle w:val="Title"/>
        <w:spacing w:before="120" w:after="360"/>
        <w:rPr>
          <w:lang w:val="el" w:eastAsia="el"/>
        </w:rPr>
      </w:pPr>
      <w:r>
        <w:rPr>
          <w:lang w:val="el" w:eastAsia="el"/>
        </w:rPr>
        <w:t>Α. Π. Αποστολέα: Ε2104 Ημ/νία Αποστολής: 18/12/2025</w:t>
      </w:r>
    </w:p>
    <w:p>
      <w:pPr>
        <w:pStyle w:val="PreambelText"/>
        <w:spacing w:before="240" w:after="240"/>
        <w:rPr>
          <w:lang w:val="el" w:eastAsia="el"/>
        </w:rPr>
      </w:pPr>
      <w:r>
        <w:rPr>
          <w:b/>
          <w:bCs/>
          <w:lang w:val="el" w:eastAsia="el"/>
        </w:rPr>
        <w:t>ΕΛΛΗΝΙΚΗ ΔΗΜΟΚΡΑΤΙΑ</w:t>
      </w:r>
    </w:p>
    <w:p>
      <w:pPr>
        <w:pStyle w:val="enacting"/>
        <w:spacing w:before="120" w:after="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1.ΓΕΝΙΚΗ ΔΙΕΥΘΥΝΣΗ ΦΟΡΟΛΟΓΙΑΣ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«Φ.Π.Α.»</w:t>
      </w:r>
    </w:p>
    <w:p>
      <w:pPr>
        <w:spacing w:before="240" w:after="240"/>
        <w:rPr>
          <w:lang w:val="el" w:eastAsia="el"/>
        </w:rPr>
      </w:pPr>
      <w:r>
        <w:rPr>
          <w:lang w:val="el" w:eastAsia="el"/>
        </w:rPr>
        <w:t xml:space="preserve">2. </w:t>
      </w:r>
      <w:r>
        <w:rPr>
          <w:b/>
          <w:bCs/>
          <w:lang w:val="el" w:eastAsia="el"/>
        </w:rPr>
        <w:t>ΓΕΝΙΚΗ ΔΙΕΥΘΥΝΣΗ ΤΕΛΩΝΕΙΩΝ ΚΑΙ ΕΦΚ</w:t>
      </w:r>
    </w:p>
    <w:p>
      <w:pPr>
        <w:spacing w:before="240" w:after="240"/>
        <w:rPr>
          <w:lang w:val="el" w:eastAsia="el"/>
        </w:rPr>
      </w:pPr>
      <w:r>
        <w:rPr>
          <w:b/>
          <w:bCs/>
          <w:lang w:val="el" w:eastAsia="el"/>
        </w:rPr>
        <w:t>ΔΙΕΥΘΥΝΣΗ ΕΦΚ &amp; ΦΠΑ</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Ε' «ΦΠΑ ΕΙΣΑΓΩΓΩΝ-ΕΞΑΓΩΓΩΝ»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2"/>
        <w:gridCol w:w="31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Πειραιώς 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177 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2131410159,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2131410655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4" w:history="1">
              <w:r>
                <w:rPr>
                  <w:rStyle w:val="Hyperlink"/>
                  <w:b/>
                  <w:bCs/>
                  <w:i w:val="0"/>
                  <w:iCs w:val="0"/>
                  <w:smallCaps w:val="0"/>
                  <w:color w:val="0000EE"/>
                  <w:u w:color="0000EE"/>
                  <w:lang w:val="el" w:eastAsia="el"/>
                </w:rPr>
                <w:t>deef.a@aade.gr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hyperlink r:id="rId5" w:history="1">
              <w:r>
                <w:rPr>
                  <w:rStyle w:val="Hyperlink"/>
                  <w:b/>
                  <w:bCs/>
                  <w:i w:val="0"/>
                  <w:iCs w:val="0"/>
                  <w:smallCaps w:val="0"/>
                  <w:color w:val="0000EE"/>
                  <w:u w:color="0000EE"/>
                  <w:lang w:val="el" w:eastAsia="el"/>
                </w:rPr>
                <w:t>vat-customs@aade.gr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hyperlink r:id="rId6" w:history="1">
              <w:r>
                <w:rPr>
                  <w:rStyle w:val="Hyperlink"/>
                  <w:b/>
                  <w:bCs/>
                  <w:i w:val="0"/>
                  <w:iCs w:val="0"/>
                  <w:smallCaps w:val="0"/>
                  <w:color w:val="0000EE"/>
                  <w:u w:color="0000EE"/>
                  <w:lang w:val="el" w:eastAsia="el"/>
                </w:rPr>
                <w:t>www.aade.gr</w:t>
              </w:r>
            </w:hyperlink>
          </w:p>
        </w:tc>
      </w:tr>
    </w:tbl>
    <w:p>
      <w:pPr>
        <w:spacing w:before="240" w:after="240"/>
        <w:rPr>
          <w:lang w:val="el" w:eastAsia="el"/>
        </w:rPr>
      </w:pPr>
      <w:r>
        <w:rPr>
          <w:b/>
          <w:bCs/>
          <w:lang w:val="el" w:eastAsia="el"/>
        </w:rPr>
        <w:t>ΠΡΟΣ Ως προς τον πίνακα διανομής</w:t>
      </w:r>
    </w:p>
    <w:p>
      <w:pPr>
        <w:spacing w:before="240" w:after="240"/>
        <w:rPr>
          <w:lang w:val="el" w:eastAsia="el"/>
        </w:rPr>
      </w:pPr>
      <w:r>
        <w:rPr>
          <w:b/>
          <w:bCs/>
          <w:lang w:val="el" w:eastAsia="el"/>
        </w:rPr>
        <w:t>Θέμα: «Κοινοποίηση του καταλόγου των χρυσών νομισμάτων που πληρούν τα κριτήρια του επενδυτικού χρυσού, σύμφωνα με το άρθρο 54 του Κώδικα Φ.Π.Α. (ν. 5144/2024, Α΄162), με ισχύ για το έτος 2026.»</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κοινοποίηση του καταλόγου των χρυσών νομισμάτων που πληρούν τα κριτήρια του επενδυτικού χρυσού, σύμφωνα με το άρθρο 54 του Κώδικα Φ.Π.Α., με ισχύ για το έτος 2026.</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εγκύκλιο κοινοποιείται ο κατάλογος των χρυσών νομισμάτων που πληρούν τα κριτήρια που καθορίζονται στην περ. β) της παρ. 2 του άρθρου 54 του Κώδικα Φ.Π.Α., με ισχύ για το έτος 2026 και υπενθυμίζεται η υποχρέωση των υποκείμενων στο φόρο, κάθε έτος, να υποβάλουν στην Ανεξάρτητη Αρχή Δημοσίων Εσόδων και ειδικότερα στο Τμήμα Α΄- Φ.Π.Α. της Διεύθυνσης Εφαρμογής Έμμεσης Φορολογίας, κατάλογο των νομισμάτων που πώλησαν.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Οι υποκείμενοι στο φόρο στην περίπτωση πωλήσεων χρυσών νομισμάτων που πληρούν τα κριτήρια της περ. β) της παρ. 2 του άρθρου 54 του Κώδικα Φ.Π.Α.</w:t>
      </w:r>
    </w:p>
    <w:p>
      <w:pPr>
        <w:spacing w:before="240" w:after="240"/>
        <w:rPr>
          <w:lang w:val="el" w:eastAsia="el"/>
        </w:rPr>
      </w:pPr>
      <w:r>
        <w:rPr>
          <w:b/>
          <w:bCs/>
          <w:lang w:val="el" w:eastAsia="el"/>
        </w:rPr>
        <w:t>Σας κοινοποιούμε, συνημμένα, στην ελληνική γλώσσα, τον κατάλογο των χρυσών νομισμάτων που πληρούν τα κριτήρια που καθορίζονται στην περ. β) της παρ. 2 του άρθρου 54 του Κώδικα Φ.Π.Α. (αντίστοιχη διάταξη: σημείο 2 της παρ. 1 του άρθρο 344 της οδηγίας 2006/112/ΕΚ του Συμβουλίου της 28ης Νοεμβρίου 2006), σχετικά με το ειδικό καθεστώς απαλλαγής από τον φόρο προστιθεμένης αξίας του επενδυτικού χρυσού, όπως δημοσιεύθηκε στην Επίσημη Εφημερίδα της Ευρωπαϊκής Ένωσης (τεύχος C/2025/5923, έκδοση στις 14.11.2025) και ισχύει για το έτος 2026.</w:t>
      </w:r>
    </w:p>
    <w:p>
      <w:pPr>
        <w:spacing w:before="240" w:after="240"/>
        <w:rPr>
          <w:lang w:val="el" w:eastAsia="el"/>
        </w:rPr>
      </w:pPr>
      <w:r>
        <w:rPr>
          <w:lang w:val="el" w:eastAsia="el"/>
        </w:rPr>
        <w:t xml:space="preserve">1. </w:t>
      </w:r>
      <w:r>
        <w:rPr>
          <w:b/>
          <w:bCs/>
          <w:lang w:val="el" w:eastAsia="el"/>
        </w:rPr>
        <w:t>Όπως αναφέρεται και στην σκέψη δ) του επεξηγηματικού σημειώματος του καταλόγου, ένα νόμισμα μπορεί να απαλλάσσεται από τον φόρο προστιθεμένης αξίας, έστω και αν δεν αναφέρεται στον κατάλογο, εφόσον πληροί τα κριτήρια για την απαλλαγή, τα οποία θεσπίζονται από τις σχετικές διατάξεις της οδηγίας 2006/112/ΕΚ του Συμβουλίου (οι οποίες έχουν ενσωματωθεί ως ανωτέρω στο εσωτερικό μας δίκαιο) κι όπως επισημαίνεται και στην σκέψη ε) του ανωτέρω επεξηγηματικού σημειώματος, ο κατάλογος των χρυσών νομισμάτων καταρτίζεται με αλφαβητική σειρά, κατά χώρα και ονομασία νομίσματος.</w:t>
      </w:r>
    </w:p>
    <w:p>
      <w:pPr>
        <w:spacing w:before="240" w:after="240"/>
        <w:rPr>
          <w:lang w:val="el" w:eastAsia="el"/>
        </w:rPr>
      </w:pPr>
      <w:r>
        <w:rPr>
          <w:lang w:val="el" w:eastAsia="el"/>
        </w:rPr>
        <w:t xml:space="preserve">2. </w:t>
      </w:r>
      <w:r>
        <w:rPr>
          <w:b/>
          <w:bCs/>
          <w:lang w:val="el" w:eastAsia="el"/>
        </w:rPr>
        <w:t>Για την εφαρμογή του ειδικού καθεστώτος επενδυτικού χρυσού του άρθρου 54 του Κώδικα Φ.Π.Α., έχουν εκδοθεί η υπό στοιχεία 1058189/4454/335/0014Β/9.7.2002 (Β΄932) (ΠΟΛ. 1193/2002) και η Δ. 1829/1124/28-11-2006 (Β΄1851) αποφάσεις του Υφυπουργού Οικονομίας και Οικονομικών, καθώς και η με αριθ. Δ. 47/24/2007 σχετική εγκύκλιος του Γενικού Γραμματέα Φορολογικών και Τελωνειακών Θεμάτων του Υπουργείου Οικονομίας και Οικονομικών.</w:t>
      </w:r>
    </w:p>
    <w:p>
      <w:pPr>
        <w:spacing w:before="240" w:after="240"/>
        <w:rPr>
          <w:lang w:val="el" w:eastAsia="el"/>
        </w:rPr>
      </w:pPr>
      <w:r>
        <w:rPr>
          <w:lang w:val="el" w:eastAsia="el"/>
        </w:rPr>
        <w:t xml:space="preserve">3. </w:t>
      </w:r>
      <w:r>
        <w:rPr>
          <w:b/>
          <w:bCs/>
          <w:lang w:val="el" w:eastAsia="el"/>
        </w:rPr>
        <w:t>Τέλος, υπενθυμίζεται ότι σύμφωνα με το τρίτο εδάφιο της παρ. 5 του άρθρου 54 του Κώδικα Φ.Π.Α., στην περίπτωση πωλήσεων χρυσών νομισμάτων που πληρούν τα κριτήρια της περ. β) της παρ. 2 του άρθρου αυτού, υφίσταται η υποχρέωση των υποκείμενων στο φόρο, κάθε έτος, να υποβάλουν στην Ανεξάρτητη Αρχή Δημοσίων Εσόδων και ειδικότερα στο Τμήμα Α΄- Φ.Π.Α. της Διεύθυνσης Εφαρμογής Έμμεσης Φορολογίας κατάλογο των νομισμάτων που πώλησαν, συμπληρωμένο με τα αναγνωριστικά στοιχεία των νομισμάτων αυτών (μικτό βάρος, περιεκτικότητα σε χρυσό, έτος και χώρα κοπής, ημερομηνία και τιμή τελευταίας πώλησης συγκεκριμένου νομίσματος). Σημειώνεται ότι όσον αφορά στη τιμή πώλησης αυτή πρέπει να είναι προγενέστερη της 1ης Απριλίου εκάστου έτους.</w:t>
      </w:r>
    </w:p>
    <w:p>
      <w:pPr>
        <w:spacing w:before="240" w:after="240"/>
        <w:rPr>
          <w:lang w:val="el" w:eastAsia="el"/>
        </w:rPr>
      </w:pPr>
      <w:r>
        <w:rPr>
          <w:b/>
          <w:bCs/>
          <w:lang w:val="el" w:eastAsia="el"/>
        </w:rPr>
        <w:t>Συνημμένα: είκοσι δύο (22) σελίδες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πλην των αριθ. 2 και 3</w:t>
      </w:r>
    </w:p>
    <w:p>
      <w:pPr>
        <w:spacing w:before="240" w:after="240"/>
        <w:rPr>
          <w:lang w:val="el" w:eastAsia="el"/>
        </w:rPr>
      </w:pPr>
      <w:r>
        <w:rPr>
          <w:lang w:val="el" w:eastAsia="el"/>
        </w:rPr>
        <w:t xml:space="preserve">2. </w:t>
      </w:r>
      <w:r>
        <w:rPr>
          <w:b/>
          <w:bCs/>
          <w:lang w:val="el" w:eastAsia="el"/>
        </w:rPr>
        <w:t>Αποδέκτες Πίνακα Δ΄ μόνο αριθ. 4</w:t>
      </w:r>
    </w:p>
    <w:p>
      <w:pPr>
        <w:spacing w:before="240" w:after="240"/>
        <w:rPr>
          <w:lang w:val="el" w:eastAsia="el"/>
        </w:rPr>
      </w:pPr>
      <w:r>
        <w:rPr>
          <w:lang w:val="el" w:eastAsia="el"/>
        </w:rPr>
        <w:t xml:space="preserve">3. </w:t>
      </w:r>
      <w:r>
        <w:rPr>
          <w:b/>
          <w:bCs/>
          <w:lang w:val="el" w:eastAsia="el"/>
        </w:rPr>
        <w:t>Διεύθυνση Στρατηγικής Τεχνολογιών Πληροφορικής για ανάρτηση στην ιστοσελίδα και την Ηλεκτρονική Βιβλιοθήκη της ΑΑΔΕ.</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Γ΄</w:t>
      </w:r>
    </w:p>
    <w:p>
      <w:pPr>
        <w:spacing w:before="240" w:after="240"/>
        <w:rPr>
          <w:lang w:val="el" w:eastAsia="el"/>
        </w:rPr>
      </w:pPr>
      <w:r>
        <w:rPr>
          <w:lang w:val="el" w:eastAsia="el"/>
        </w:rPr>
        <w:t xml:space="preserve">4. </w:t>
      </w:r>
      <w:r>
        <w:rPr>
          <w:b/>
          <w:bCs/>
          <w:lang w:val="el" w:eastAsia="el"/>
        </w:rPr>
        <w:t>Αποδέκτες Πίνακα Δ΄</w:t>
      </w:r>
    </w:p>
    <w:p>
      <w:pPr>
        <w:spacing w:before="240" w:after="240"/>
        <w:rPr>
          <w:lang w:val="el" w:eastAsia="el"/>
        </w:rPr>
      </w:pPr>
      <w:r>
        <w:rPr>
          <w:lang w:val="el" w:eastAsia="el"/>
        </w:rPr>
        <w:t xml:space="preserve">5. </w:t>
      </w:r>
      <w:r>
        <w:rPr>
          <w:b/>
          <w:bCs/>
          <w:lang w:val="el" w:eastAsia="el"/>
        </w:rPr>
        <w:t>Αποδέκτες Πίνακα Ζ΄</w:t>
      </w:r>
    </w:p>
    <w:p>
      <w:pPr>
        <w:spacing w:before="240" w:after="240"/>
        <w:rPr>
          <w:lang w:val="el" w:eastAsia="el"/>
        </w:rPr>
      </w:pPr>
      <w:r>
        <w:rPr>
          <w:lang w:val="el" w:eastAsia="el"/>
        </w:rPr>
        <w:t xml:space="preserve">6. </w:t>
      </w:r>
      <w:r>
        <w:rPr>
          <w:b/>
          <w:bCs/>
          <w:lang w:val="el" w:eastAsia="el"/>
        </w:rPr>
        <w:t>Αποδέκτες Πίνακα Η</w:t>
      </w:r>
    </w:p>
    <w:p>
      <w:pPr>
        <w:spacing w:before="240" w:after="240"/>
        <w:rPr>
          <w:lang w:val="el" w:eastAsia="el"/>
        </w:rPr>
      </w:pPr>
      <w:r>
        <w:rPr>
          <w:lang w:val="el" w:eastAsia="el"/>
        </w:rPr>
        <w:t xml:space="preserve">7. </w:t>
      </w:r>
      <w:r>
        <w:rPr>
          <w:b/>
          <w:bCs/>
          <w:lang w:val="el" w:eastAsia="el"/>
        </w:rPr>
        <w:t>Αποδέκτες Πίνακα Θ΄</w:t>
      </w:r>
    </w:p>
    <w:p>
      <w:pPr>
        <w:spacing w:before="240" w:after="240"/>
        <w:rPr>
          <w:lang w:val="el" w:eastAsia="el"/>
        </w:rPr>
      </w:pPr>
      <w:r>
        <w:rPr>
          <w:lang w:val="el" w:eastAsia="el"/>
        </w:rPr>
        <w:t xml:space="preserve">8. </w:t>
      </w:r>
      <w:r>
        <w:rPr>
          <w:b/>
          <w:bCs/>
          <w:lang w:val="el" w:eastAsia="el"/>
        </w:rPr>
        <w:t>Αποδέκτες Πίνακα ΙΒ΄</w:t>
      </w:r>
    </w:p>
    <w:p>
      <w:pPr>
        <w:spacing w:before="240" w:after="240"/>
        <w:rPr>
          <w:lang w:val="el" w:eastAsia="el"/>
        </w:rPr>
      </w:pPr>
      <w:r>
        <w:rPr>
          <w:lang w:val="el" w:eastAsia="el"/>
        </w:rPr>
        <w:t xml:space="preserve">9. </w:t>
      </w:r>
      <w:r>
        <w:rPr>
          <w:b/>
          <w:bCs/>
          <w:lang w:val="el" w:eastAsia="el"/>
        </w:rPr>
        <w:t>Αποδέκτες Πίνακα ΙΣΤ΄</w:t>
      </w:r>
    </w:p>
    <w:p>
      <w:pPr>
        <w:spacing w:before="240" w:after="240"/>
        <w:rPr>
          <w:lang w:val="el" w:eastAsia="el"/>
        </w:rPr>
      </w:pPr>
      <w:r>
        <w:rPr>
          <w:lang w:val="el" w:eastAsia="el"/>
        </w:rPr>
        <w:t xml:space="preserve">10. </w:t>
      </w:r>
      <w:r>
        <w:rPr>
          <w:b/>
          <w:bCs/>
          <w:lang w:val="el" w:eastAsia="el"/>
        </w:rPr>
        <w:t>Γραφείο Υπουργού Εθνικής Οικονομίας και Οικονομικών</w:t>
      </w:r>
    </w:p>
    <w:p>
      <w:pPr>
        <w:spacing w:before="240" w:after="240"/>
        <w:rPr>
          <w:lang w:val="el" w:eastAsia="el"/>
        </w:rPr>
      </w:pPr>
      <w:r>
        <w:rPr>
          <w:lang w:val="el" w:eastAsia="el"/>
        </w:rPr>
        <w:t xml:space="preserve">11.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12.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lang w:val="el" w:eastAsia="el"/>
        </w:rPr>
        <w:t xml:space="preserve">13.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14. </w:t>
      </w:r>
      <w:r>
        <w:rPr>
          <w:b/>
          <w:bCs/>
          <w:lang w:val="el" w:eastAsia="el"/>
        </w:rPr>
        <w:t>Τράπεζα της Ελλάδος. Διεύθυνση Εργασιών Δημοσίου, Διεύθυνση Ταμείων , Διεύθυνση</w:t>
      </w:r>
    </w:p>
    <w:p>
      <w:pPr>
        <w:spacing w:before="240" w:after="240"/>
        <w:rPr>
          <w:lang w:val="el" w:eastAsia="el"/>
        </w:rPr>
      </w:pPr>
      <w:r>
        <w:rPr>
          <w:b/>
          <w:bCs/>
          <w:lang w:val="el" w:eastAsia="el"/>
        </w:rPr>
        <w:t>Χρηματοοικονομικών Δραστηριοτήτων. Ελευθερίου Βενιζέλου 21, Τ.Κ. 102 50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Γενικού Δ/ντή Φορολογίας</w:t>
      </w:r>
    </w:p>
    <w:p>
      <w:pPr>
        <w:spacing w:before="240" w:after="240"/>
        <w:rPr>
          <w:lang w:val="el" w:eastAsia="el"/>
        </w:rPr>
      </w:pPr>
      <w:r>
        <w:rPr>
          <w:lang w:val="el" w:eastAsia="el"/>
        </w:rPr>
        <w:t xml:space="preserve">3. </w:t>
      </w:r>
      <w:r>
        <w:rPr>
          <w:b/>
          <w:bCs/>
          <w:lang w:val="el" w:eastAsia="el"/>
        </w:rPr>
        <w:t>Γραφείο Γενικού Δ/ντή Φορολογικών Λειτουργιών</w:t>
      </w:r>
    </w:p>
    <w:p>
      <w:pPr>
        <w:spacing w:before="240" w:after="240"/>
        <w:rPr>
          <w:lang w:val="el" w:eastAsia="el"/>
        </w:rPr>
      </w:pPr>
      <w:r>
        <w:rPr>
          <w:lang w:val="el" w:eastAsia="el"/>
        </w:rPr>
        <w:t xml:space="preserve">4. </w:t>
      </w:r>
      <w:r>
        <w:rPr>
          <w:b/>
          <w:bCs/>
          <w:lang w:val="el" w:eastAsia="el"/>
        </w:rPr>
        <w:t>Διεύθυνση Νομικής Υποστήριξης της Α.Α.Δ.Ε</w:t>
      </w:r>
    </w:p>
    <w:p>
      <w:pPr>
        <w:spacing w:before="240" w:after="240"/>
        <w:rPr>
          <w:lang w:val="el" w:eastAsia="el"/>
        </w:rPr>
      </w:pPr>
      <w:r>
        <w:rPr>
          <w:lang w:val="el" w:eastAsia="el"/>
        </w:rPr>
        <w:t xml:space="preserve">5. </w:t>
      </w:r>
      <w:r>
        <w:rPr>
          <w:b/>
          <w:bCs/>
          <w:lang w:val="el" w:eastAsia="el"/>
        </w:rPr>
        <w:t>Διεύθυνση Εφαρμογής Έμμεσης Φορολογίας, Τμήμα Α΄</w:t>
      </w:r>
    </w:p>
    <w:p>
      <w:pPr>
        <w:spacing w:before="240" w:after="240"/>
        <w:rPr>
          <w:lang w:val="el" w:eastAsia="el"/>
        </w:rPr>
      </w:pPr>
      <w:r>
        <w:rPr>
          <w:lang w:val="el" w:eastAsia="el"/>
        </w:rPr>
        <w:t xml:space="preserve">6. </w:t>
      </w:r>
      <w:r>
        <w:rPr>
          <w:b/>
          <w:bCs/>
          <w:lang w:val="el" w:eastAsia="el"/>
        </w:rPr>
        <w:t>Διεύθυνση ΕΦΚ &amp; ΦΠΑ – Τμήμα Ε΄</w:t>
      </w:r>
    </w:p>
    <w:p>
      <w:pPr>
        <w:spacing w:before="240" w:after="240"/>
        <w:rPr>
          <w:lang w:val="el" w:eastAsia="el"/>
        </w:rPr>
      </w:pPr>
      <w:r>
        <w:rPr>
          <w:lang w:val="el" w:eastAsia="el"/>
        </w:rPr>
        <w:t>Ακριβές Αντίγραφο Κεντρικό Πρωτόκολλο ΜΠΙΝΤΟΣ ΓΡΗΓΟΡΙΟΣ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mailto:vat-customs@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