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177 78 Ταύρος</w:t>
      </w:r>
    </w:p>
    <w:p>
      <w:pPr>
        <w:pStyle w:val="Title"/>
        <w:spacing w:before="120" w:after="360"/>
        <w:rPr>
          <w:lang w:val="el" w:eastAsia="el"/>
        </w:rPr>
      </w:pPr>
      <w:r>
        <w:rPr>
          <w:b/>
          <w:bCs/>
          <w:lang w:val="el" w:eastAsia="el"/>
        </w:rPr>
        <w:t xml:space="preserve">Κ. Κίκιρα, Σ. Μεκλή 213 1410647,718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ΘΕΜΑ: Παροχή οδηγιών σχετικά με την εφαρμογή νέου κωδικού εθνικής μονάδας μέτρησης για τον υπολογισμό του τέλους ταξινόμησης ρυμουλκούμενων/ημιρυμουλκούμενων οχημάτων</w:t>
      </w:r>
    </w:p>
    <w:p>
      <w:pPr>
        <w:pStyle w:val="enacting"/>
        <w:spacing w:before="120" w:after="0"/>
        <w:rPr>
          <w:lang w:val="el" w:eastAsia="el"/>
        </w:rPr>
      </w:pPr>
      <w:r>
        <w:rPr>
          <w:b/>
          <w:bCs/>
          <w:u w:val="single"/>
          <w:lang w:val="el" w:eastAsia="el"/>
        </w:rPr>
        <w:t>ΠΕΡΙΛΗΨΗ ΕΓΚΥΚΛΙΟΥ</w:t>
      </w:r>
      <w:r>
        <w:rPr>
          <w:u w:val="single"/>
          <w:lang w:val="el" w:eastAsia="el"/>
        </w:rPr>
        <w:br/>
      </w:r>
      <w:r>
        <w:rPr>
          <w:b/>
          <w:bCs/>
          <w:u w:val="single"/>
          <w:lang w:val="el" w:eastAsia="el"/>
        </w:rPr>
        <w:t>Α) ΑΝΤΙΚΕΙΜΕΝΟ</w:t>
      </w:r>
    </w:p>
    <w:p>
      <w:pPr>
        <w:pStyle w:val="PreambelText"/>
        <w:spacing w:before="240" w:after="240"/>
        <w:rPr>
          <w:lang w:val="el" w:eastAsia="el"/>
        </w:rPr>
      </w:pPr>
      <w:r>
        <w:rPr>
          <w:b/>
          <w:bCs/>
          <w:u w:val="single"/>
          <w:lang w:val="el" w:eastAsia="el"/>
        </w:rPr>
        <w:t>Εγκύκλιος η οποία αφορά στην παροχή οδηγιών σχετικά με την ορθή εφαρμογή της νέας εθνικής μονάδας μέτρησης με κωδικό αριθμό «064», προκειμένου για τη διευκόλυνση και απλοποίηση της διαδικασίας υπολογισμού του τέλους ταξινόμησης των ρυμουλκούμενων και ημιρυμουλκούμενων οχημάτων της ΔΚ ΕΧ8716.</w:t>
      </w:r>
    </w:p>
    <w:p>
      <w:pPr>
        <w:pStyle w:val="enacting"/>
        <w:spacing w:before="120" w:after="0"/>
        <w:rPr>
          <w:lang w:val="el" w:eastAsia="el"/>
        </w:rPr>
      </w:pPr>
      <w:r>
        <w:rPr>
          <w:b/>
          <w:bCs/>
          <w:u w:val="single"/>
          <w:lang w:val="el" w:eastAsia="el"/>
        </w:rPr>
        <w:t>Β) ΠΕΡΙΕΧΟΜΕΝΟ</w:t>
      </w:r>
    </w:p>
    <w:p>
      <w:pPr>
        <w:pStyle w:val="PreambelText"/>
        <w:spacing w:before="240" w:after="240"/>
        <w:rPr>
          <w:lang w:val="el" w:eastAsia="el"/>
        </w:rPr>
      </w:pPr>
      <w:r>
        <w:rPr>
          <w:b/>
          <w:bCs/>
          <w:u w:val="single"/>
          <w:lang w:val="el" w:eastAsia="el"/>
        </w:rPr>
        <w:t>Με την εγκύκλιο παρέχονται οδηγίες σχετικά με τη συμπλήρωση των τελωνειακών παραστατικών, με τη χρήση πρόσθετης εθνικής μονάδας μέτρησης με κωδικό αριθμό «064» καθώς και νέων κωδικών κατηγορίας οχημάτων, για τον αυτόματο υπολογισμό του τέλους ταξινόμησης ρυμουλκούμενων και ημιρυμουλκούμενων οχημάτων μέσω του Υ/Σ TARIC.</w:t>
      </w:r>
    </w:p>
    <w:p>
      <w:pPr>
        <w:pStyle w:val="enacting"/>
        <w:spacing w:before="120" w:after="0"/>
        <w:rPr>
          <w:lang w:val="el" w:eastAsia="el"/>
        </w:rPr>
      </w:pPr>
      <w:r>
        <w:rPr>
          <w:b/>
          <w:bCs/>
          <w:u w:val="single"/>
          <w:lang w:val="el" w:eastAsia="el"/>
        </w:rPr>
        <w:t>Γ) ΠΕΔΙΟ ΕΦΑΡΜΟΓΗΣ</w:t>
      </w:r>
    </w:p>
    <w:p>
      <w:pPr>
        <w:pStyle w:val="PreambelText"/>
        <w:spacing w:before="240" w:after="240"/>
        <w:rPr>
          <w:lang w:val="el" w:eastAsia="el"/>
        </w:rPr>
      </w:pPr>
      <w:r>
        <w:rPr>
          <w:b/>
          <w:bCs/>
          <w:u w:val="single"/>
          <w:lang w:val="el" w:eastAsia="el"/>
        </w:rPr>
        <w:t>Οι επιχειρήσεις και οι πολίτες που παραλαμβάνουν οχήματα προερχόμενα από τρίτες χώρες ή άλλα κράτη μέλη της ΕΕ καθώς και οι αρμόδιες τελωνειακές αρχές.</w:t>
      </w:r>
    </w:p>
    <w:p>
      <w:pPr>
        <w:pStyle w:val="PreambelText"/>
        <w:spacing w:before="240" w:after="240"/>
        <w:rPr>
          <w:lang w:val="el" w:eastAsia="el"/>
        </w:rPr>
      </w:pPr>
      <w:r>
        <w:rPr>
          <w:b/>
          <w:bCs/>
          <w:u w:val="single"/>
          <w:lang w:val="el" w:eastAsia="el"/>
        </w:rPr>
        <w:t>Σύμφωνα με το άρθρο 141 του ν. 5222/2025 «Εθνικός Τελωνειακός Κώδικας και άλλες διατάξεις - Συνταξιοδοτικές διατάξεις» (Α΄134), τα αυτοκίνητα οχήματα, πλην εκείνων που υπάγονται στα άρθρα 136, 138, 139 και 140 του ίδιου νόμου, υπόκεινται σε τέλος ταξινόμησης ίσο με το ετήσιο τέλος κυκλοφορίας που προβλέπεται κατά περίπτωση, σύμφωνα με τα άρθρα 54 έως 57 του ν. 5177/2025 (Α΄ 21).</w:t>
      </w:r>
    </w:p>
    <w:p>
      <w:pPr>
        <w:pStyle w:val="PreambelText"/>
        <w:spacing w:before="240" w:after="240"/>
        <w:rPr>
          <w:lang w:val="el" w:eastAsia="el"/>
        </w:rPr>
      </w:pPr>
      <w:r>
        <w:rPr>
          <w:b/>
          <w:bCs/>
          <w:u w:val="single"/>
          <w:lang w:val="el" w:eastAsia="el"/>
        </w:rPr>
        <w:t>Με σκοπό την απλούστευση και επιτάχυνση της διαδικασίας βεβαίωσης και είσπραξης του οφειλόμενου βάσει των ως άνω διατάξεων τέλους ταξινόμησης για τα ρυμουλκούμενα/ημιρυμουλκούμενα οχήματα της δασμολογικής κλάσης 8716 (ιδιωτικής και δημόσιας χρήσης), δημιουργήθηκαν στο υποσύστημα TARIC του πληροφοριακού συστήματος τελωνείων και τίθενται σε ισχύ από 22-12-2025:</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μία νέα εθνική μονάδα μέτρησης με κωδικό αριθμό 064 και περιγραφή «Αριθμός τεμαχίων - ρυμουλκούμενα /ημιρυμουλκούμενα (ΔΚ EX8716) για τον άπαξ υπολογισμό ΤΤ», η οποία αποτελεί απαιτητή πρόσθετη μονάδα μέτρησης για τον υπολογισμό των δασμοφορολογικών επιβαρύνσεων των συγκεκριμένων οχημάτων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δεκαέξι (16) νέοι κωδικοί, με τις κατά περίπτωση κατηγορίες των ρυμουλκούμενων /ημιρυμουλκούμενων, ήτοι τις κατηγορίες Ιδιωτικής Χρήσης (ΙΧ) ή Δημόσιας Χρήσης (ΔΧ), καθώς και το μικτό βάρος κάθε οχήματος, για την αντιστοίχιση του αναλογούντος τέλους ταξινόμησης.</w:t>
      </w:r>
    </w:p>
    <w:p>
      <w:pPr>
        <w:pStyle w:val="PreambelText"/>
        <w:spacing w:before="240" w:after="240"/>
        <w:rPr>
          <w:lang w:val="el" w:eastAsia="el"/>
        </w:rPr>
      </w:pPr>
      <w:r>
        <w:rPr>
          <w:b/>
          <w:bCs/>
          <w:u w:val="single"/>
          <w:lang w:val="el" w:eastAsia="el"/>
        </w:rPr>
        <w:t>Κατά την ηλεκτρονική υποβολή από τους συναλλασσόμενους του κατά περίπτωση τελωνειακού παραστατικού (ΕΔΕ εισαγωγής ή ΔΕΦΚ) για τη βεβαίωση και είσπραξη του τέλους ταξινόμησης, με καταχώριση του ως άνω πρόσθετου στοιχείου υπολογισμού με κωδικό «064» σε συνδυασμό με τον αντίστοιχο κωδικό κατηγορίας οχήματος, το οφειλόμενο βάσει των ανωτέρω διατάξεων τέλος ταξινόμησης υπολογίζεται, αυτόματα στους κατωτέρω κωδικούς ΣΟ:</w:t>
      </w:r>
    </w:p>
    <w:p>
      <w:pPr>
        <w:pStyle w:val="PreambelText"/>
        <w:spacing w:before="240" w:after="240"/>
        <w:rPr>
          <w:lang w:val="el" w:eastAsia="el"/>
        </w:rPr>
      </w:pPr>
      <w:r>
        <w:rPr>
          <w:b/>
          <w:bCs/>
          <w:u w:val="single"/>
          <w:lang w:val="el" w:eastAsia="el"/>
        </w:rPr>
        <w:t>Α. Για οχήματα της δασμολογικής διάκρισης 8716 10, και ειδικότερα για τους κωδικούς ΣΟ:</w:t>
      </w:r>
    </w:p>
    <w:p>
      <w:pPr>
        <w:pStyle w:val="PreambelText"/>
        <w:spacing w:before="240" w:after="240"/>
        <w:rPr>
          <w:lang w:val="el" w:eastAsia="el"/>
        </w:rPr>
      </w:pPr>
      <w:r>
        <w:rPr>
          <w:b/>
          <w:bCs/>
          <w:u w:val="single"/>
          <w:lang w:val="el" w:eastAsia="el"/>
        </w:rPr>
        <w:t>8716 10 92: Ρυμουλκούμενα και ημιρυμουλκούμενα για κατοίκηση ή για κατασκήνωση, τύπου τροχόσπιτου (καραβάν), βάρους που δεν υπερβαίνει τα 1.600 kg</w:t>
      </w:r>
    </w:p>
    <w:p>
      <w:pPr>
        <w:pStyle w:val="PreambelText"/>
        <w:spacing w:before="240" w:after="240"/>
        <w:rPr>
          <w:lang w:val="el" w:eastAsia="el"/>
        </w:rPr>
      </w:pPr>
      <w:r>
        <w:rPr>
          <w:b/>
          <w:bCs/>
          <w:u w:val="single"/>
          <w:lang w:val="el" w:eastAsia="el"/>
        </w:rPr>
        <w:t>8716 10 98 : Ρυμουλκούμενα και ημιρυμουλκούμενα για κατοίκηση ή για κατασκήνωση, τύπου τροχόσπιτου (καραβάν), βάρους που υπερβαίνει τα 1.600 kg,</w:t>
      </w:r>
    </w:p>
    <w:p>
      <w:pPr>
        <w:pStyle w:val="PreambelText"/>
        <w:spacing w:before="240" w:after="240"/>
        <w:rPr>
          <w:lang w:val="el" w:eastAsia="el"/>
        </w:rPr>
      </w:pPr>
      <w:r>
        <w:rPr>
          <w:b/>
          <w:bCs/>
          <w:u w:val="single"/>
          <w:lang w:val="el" w:eastAsia="el"/>
        </w:rPr>
        <w:t>συμπληρώνεται ο κωδικός αριθμός 1099 «Ρυμουλκούμενα/ημιρυμουλκούμενα τροχόσπιτα της δασμ. διάκρισης 8716 10 (κωδ. ΣΟ 8716 10 92 και 8716 10 98)» που αντιστοιχεί σε άπαξ υπολογισμό του τέλους ταξινόμησης ποσού εκατόν σαράντα (140) ευρώ.</w:t>
      </w:r>
    </w:p>
    <w:p>
      <w:pPr>
        <w:pStyle w:val="PreambelText"/>
        <w:spacing w:before="240" w:after="240"/>
        <w:rPr>
          <w:lang w:val="el" w:eastAsia="el"/>
        </w:rPr>
      </w:pPr>
      <w:r>
        <w:rPr>
          <w:b/>
          <w:bCs/>
          <w:u w:val="single"/>
          <w:lang w:val="el" w:eastAsia="el"/>
        </w:rPr>
        <w:t>Β. Για οχήματα των δασμολογικών διακρίσεων 8716 31, 87116 39 και 8716 40, ειδικότερα για τους κωδ. ΣΟ:</w:t>
      </w:r>
    </w:p>
    <w:p>
      <w:pPr>
        <w:pStyle w:val="PreambelText"/>
        <w:spacing w:before="240" w:after="240"/>
        <w:rPr>
          <w:lang w:val="el" w:eastAsia="el"/>
        </w:rPr>
      </w:pPr>
      <w:r>
        <w:rPr>
          <w:u w:val="single"/>
          <w:lang w:val="el" w:eastAsia="el"/>
        </w:rPr>
        <w:t xml:space="preserve">• </w:t>
      </w:r>
      <w:r>
        <w:rPr>
          <w:b/>
          <w:bCs/>
          <w:u w:val="single"/>
          <w:lang w:val="el" w:eastAsia="el"/>
        </w:rPr>
        <w:t>8716 31 00 : Δεξαμενές (Άλλα ρυμουλκούμενα και ημιρυμουλκούμενα για τη μεταφορά εμπορευμάτων)</w:t>
      </w:r>
    </w:p>
    <w:p>
      <w:pPr>
        <w:pStyle w:val="PreambelText"/>
        <w:spacing w:before="240" w:after="240"/>
        <w:rPr>
          <w:lang w:val="el" w:eastAsia="el"/>
        </w:rPr>
      </w:pPr>
      <w:r>
        <w:rPr>
          <w:u w:val="single"/>
          <w:lang w:val="el" w:eastAsia="el"/>
        </w:rPr>
        <w:t xml:space="preserve">• </w:t>
      </w:r>
      <w:r>
        <w:rPr>
          <w:b/>
          <w:bCs/>
          <w:u w:val="single"/>
          <w:lang w:val="el" w:eastAsia="el"/>
        </w:rPr>
        <w:t>8716 39 10 : Ειδικά κατασκευασμένα για τη μεταφορά προϊόντων που εκπέμπουν ισχυρή ραδιενέργεια (Ευρατόμ) (Άλλα ρυμουλκούμενα και ημιρυμουλκούμενα για τη μεταφορά εμπορευμάτων)</w:t>
      </w:r>
    </w:p>
    <w:p>
      <w:pPr>
        <w:pStyle w:val="PreambelText"/>
        <w:spacing w:before="240" w:after="240"/>
        <w:rPr>
          <w:lang w:val="el" w:eastAsia="el"/>
        </w:rPr>
      </w:pPr>
      <w:r>
        <w:rPr>
          <w:u w:val="single"/>
          <w:lang w:val="el" w:eastAsia="el"/>
        </w:rPr>
        <w:t xml:space="preserve">• </w:t>
      </w:r>
      <w:r>
        <w:rPr>
          <w:b/>
          <w:bCs/>
          <w:u w:val="single"/>
          <w:lang w:val="el" w:eastAsia="el"/>
        </w:rPr>
        <w:t>8716 39 30 : Ημιρυμουλκούμενα καινούργια</w:t>
      </w:r>
    </w:p>
    <w:p>
      <w:pPr>
        <w:pStyle w:val="PreambelText"/>
        <w:spacing w:before="240" w:after="240"/>
        <w:rPr>
          <w:lang w:val="el" w:eastAsia="el"/>
        </w:rPr>
      </w:pPr>
      <w:r>
        <w:rPr>
          <w:b/>
          <w:bCs/>
          <w:u w:val="single"/>
          <w:lang w:val="el" w:eastAsia="el"/>
        </w:rPr>
        <w:t>8716 39 50 : Καινούργια, άλλα από τα ημιρυμουλκούμενα</w:t>
      </w:r>
    </w:p>
    <w:p>
      <w:pPr>
        <w:pStyle w:val="PreambelText"/>
        <w:spacing w:before="240" w:after="240"/>
        <w:rPr>
          <w:lang w:val="el" w:eastAsia="el"/>
        </w:rPr>
      </w:pPr>
      <w:r>
        <w:rPr>
          <w:u w:val="single"/>
          <w:lang w:val="el" w:eastAsia="el"/>
        </w:rPr>
        <w:t xml:space="preserve">• </w:t>
      </w:r>
      <w:r>
        <w:rPr>
          <w:b/>
          <w:bCs/>
          <w:u w:val="single"/>
          <w:lang w:val="el" w:eastAsia="el"/>
        </w:rPr>
        <w:t>8716 39 80 : Μεταχειρισμένα (ρυμουλκούμενα και ημιρυμουλκούμενα, άλλα από αυτά του κωδικού Σ.Ο. 8716 39 10)</w:t>
      </w:r>
    </w:p>
    <w:p>
      <w:pPr>
        <w:pStyle w:val="PreambelText"/>
        <w:spacing w:before="240" w:after="240"/>
        <w:rPr>
          <w:lang w:val="el" w:eastAsia="el"/>
        </w:rPr>
      </w:pPr>
      <w:r>
        <w:rPr>
          <w:u w:val="single"/>
          <w:lang w:val="el" w:eastAsia="el"/>
        </w:rPr>
        <w:t xml:space="preserve">• </w:t>
      </w:r>
      <w:r>
        <w:rPr>
          <w:b/>
          <w:bCs/>
          <w:u w:val="single"/>
          <w:lang w:val="el" w:eastAsia="el"/>
        </w:rPr>
        <w:t>8716 40 00: Άλλα ρυμουλκούμενα και ημιρυμουλκούμενα</w:t>
      </w:r>
    </w:p>
    <w:p>
      <w:pPr>
        <w:pStyle w:val="PreambelText"/>
        <w:spacing w:before="240" w:after="240"/>
        <w:rPr>
          <w:lang w:val="el" w:eastAsia="el"/>
        </w:rPr>
      </w:pPr>
      <w:r>
        <w:rPr>
          <w:b/>
          <w:bCs/>
          <w:u w:val="single"/>
          <w:lang w:val="el" w:eastAsia="el"/>
        </w:rPr>
        <w:t>συμπληρώνονται κατά περίπτωση οι κωδικοί κατηγορίας οχήματος, όπως αναφέρονται στον ακόλουθο πίνακα, που αντιστοιχούν σε υπολογισμό του τέλους ταξινόμησης,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0"/>
        <w:gridCol w:w="5370"/>
        <w:gridCol w:w="2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Άπαξ υπολογισμός του ΤΤ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 ΙΧ και ΔΧ μέγιστου μικτού βάρους όχι άνω των 750 kgr (εξαιρούνται τα τροχόσπιτα της δασμ. διάκρισης 8716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από 750 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1.501-3.500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3.501- 10.000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10.001- 20.000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30.001 -40.000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Ρυμουλκούμενα/ημιρυμουλκούμενα-ΙΧ-μικτού βάρους (kgr) 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από 750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3.501- 10.000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Ρυμουλκούμενα/ημιρυμουλκούμενα-ΔΧ-μικτού βάρους (kgr) 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1.460</w:t>
            </w:r>
          </w:p>
        </w:tc>
      </w:tr>
    </w:tbl>
    <w:p>
      <w:pPr>
        <w:pStyle w:val="PreambelText"/>
        <w:spacing w:before="240" w:after="240"/>
        <w:rPr>
          <w:lang w:val="el" w:eastAsia="el"/>
        </w:rPr>
      </w:pPr>
      <w:r>
        <w:rPr>
          <w:b/>
          <w:bCs/>
          <w:u w:val="single"/>
          <w:lang w:val="el" w:eastAsia="el"/>
        </w:rPr>
        <w:t>Πλέον των ανωτέρω επισημαίνονται τα ακόλουθα:</w:t>
      </w:r>
    </w:p>
    <w:p>
      <w:pPr>
        <w:pStyle w:val="PreambelText"/>
        <w:spacing w:before="240" w:after="240"/>
        <w:rPr>
          <w:lang w:val="el" w:eastAsia="el"/>
        </w:rPr>
      </w:pPr>
      <w:r>
        <w:rPr>
          <w:u w:val="single"/>
          <w:lang w:val="el" w:eastAsia="el"/>
        </w:rPr>
        <w:t xml:space="preserve">1. </w:t>
      </w:r>
      <w:r>
        <w:rPr>
          <w:b/>
          <w:bCs/>
          <w:u w:val="single"/>
          <w:lang w:val="el" w:eastAsia="el"/>
        </w:rPr>
        <w:t>Ως προς τα ρυμουλκούμενα οχήματα (μπαγκαζιέρες, ρυμουλκούμενα έλξης σκαφών κ.α.) του παραπάνω πίνακα, μέγιστης μάζας όχι άνω των 0,75 τόνων, τα οποία εμπίπτουν στην κατηγορία Ο1 του Παραρτήματος ΙΙ της υπ’ αρ. 29949/1841/28-09-2009 Κ.Υ.Α. «Προσαρμογή της Ελληνικής Νομοθεσίας προς τις διατάξεις της Οδηγίας 2007/46/ΕΚ του Ευρωπαϊκού Κοινοβουλίου και του Συμβουλίου της 5.9.2007 για τη θέσπιση πλαισίου για την έγκριση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(οδηγία πλαίσιο)» (Β΄2112), τα οποία δεν υπόκεινται σε τέλος ταξινόμησης και δεν εκδίδεται για αυτά πιστοποιητικό ταξινόμησης, πρέπει κατά την υποβολή του ΕΔΕ εισαγωγής (για τα εν λόγω οχήματα, προερχόμενα από άλλα Κράτη Μέλη της ΕΕ, δεν υποβάλλεται παραστατικό στο Τελωνείο) να επιλέγεται ο κωδικός κατηγορίας 1098 του παραπάνω πίνακα, που οδηγεί σε μηδενική επιβάρυνση τέλους ταξινόμησης.</w:t>
      </w:r>
    </w:p>
    <w:p>
      <w:pPr>
        <w:pStyle w:val="PreambelText"/>
        <w:spacing w:before="240" w:after="240"/>
        <w:rPr>
          <w:lang w:val="el" w:eastAsia="el"/>
        </w:rPr>
      </w:pPr>
      <w:r>
        <w:rPr>
          <w:u w:val="single"/>
          <w:lang w:val="el" w:eastAsia="el"/>
        </w:rPr>
        <w:t xml:space="preserve">2. </w:t>
      </w:r>
      <w:r>
        <w:rPr>
          <w:b/>
          <w:bCs/>
          <w:u w:val="single"/>
          <w:lang w:val="el" w:eastAsia="el"/>
        </w:rPr>
        <w:t>Σε περίπτωση που στο ίδιο παραστατικό περιλαμβάνονται περισσότερα του ενός οχήματα, πρέπει να συμπληρώνονται ορθά οι συμπληρωματικές μονάδες επί του παραστατικού, ώστε ο υπολογισμός να πραγματοποιείται ανά ρυμουλκούμενο- ημιρυμουλκούμενο.</w:t>
      </w:r>
    </w:p>
    <w:p>
      <w:pPr>
        <w:pStyle w:val="PreambelText"/>
        <w:spacing w:before="240" w:after="240"/>
        <w:rPr>
          <w:lang w:val="el" w:eastAsia="el"/>
        </w:rPr>
      </w:pPr>
      <w:r>
        <w:rPr>
          <w:u w:val="single"/>
          <w:lang w:val="el" w:eastAsia="el"/>
        </w:rPr>
        <w:t xml:space="preserve">3. </w:t>
      </w:r>
      <w:r>
        <w:rPr>
          <w:b/>
          <w:bCs/>
          <w:u w:val="single"/>
          <w:lang w:val="el" w:eastAsia="el"/>
        </w:rPr>
        <w:t>Σε περίπτωση μη επιλογής κάποιου από τους ανωτέρω κωδικούς κατηγορίας οχήματος, το παραστατικό δρομολογείται αυτόματα με τον ανώτερο υπολογισμό τέλους ταξινόμησης ποσού χιλίων τετρακοσίων ενενήντα (1.490) ευρώ.</w:t>
      </w:r>
    </w:p>
    <w:p>
      <w:pPr>
        <w:pStyle w:val="PreambelText"/>
        <w:spacing w:before="240" w:after="240"/>
        <w:rPr>
          <w:lang w:val="el" w:eastAsia="el"/>
        </w:rPr>
      </w:pPr>
      <w:r>
        <w:rPr>
          <w:b/>
          <w:bCs/>
          <w:u w:val="single"/>
          <w:lang w:val="el" w:eastAsia="el"/>
        </w:rPr>
        <w:t>Ο ΔΙΟΙΚΗΤΗΣ ΤΗΣ ΑΑΔΕ</w:t>
      </w:r>
    </w:p>
    <w:p>
      <w:pPr>
        <w:pStyle w:val="PreambelText"/>
        <w:spacing w:before="240" w:after="240"/>
        <w:rPr>
          <w:lang w:val="el" w:eastAsia="el"/>
        </w:rPr>
      </w:pPr>
      <w:r>
        <w:rPr>
          <w:b/>
          <w:bCs/>
          <w:u w:val="single"/>
          <w:lang w:val="el" w:eastAsia="el"/>
        </w:rPr>
        <w:t>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 Αποδέκτες για ενέργεια</w:t>
      </w:r>
    </w:p>
    <w:p>
      <w:pPr>
        <w:pStyle w:val="PreambelText"/>
        <w:spacing w:before="240" w:after="240"/>
        <w:rPr>
          <w:lang w:val="el" w:eastAsia="el"/>
        </w:rPr>
      </w:pPr>
      <w:r>
        <w:rPr>
          <w:u w:val="single"/>
          <w:lang w:val="el" w:eastAsia="el"/>
        </w:rPr>
        <w:t xml:space="preserve">1. </w:t>
      </w:r>
      <w:r>
        <w:rPr>
          <w:b/>
          <w:bCs/>
          <w:u w:val="single"/>
          <w:lang w:val="el" w:eastAsia="el"/>
        </w:rPr>
        <w:t>Τελωνειακές Περιφέρειες</w:t>
      </w:r>
    </w:p>
    <w:p>
      <w:pPr>
        <w:pStyle w:val="PreambelText"/>
        <w:spacing w:before="240" w:after="240"/>
        <w:rPr>
          <w:lang w:val="el" w:eastAsia="el"/>
        </w:rPr>
      </w:pPr>
      <w:r>
        <w:rPr>
          <w:u w:val="single"/>
          <w:lang w:val="el" w:eastAsia="el"/>
        </w:rPr>
        <w:t xml:space="preserve">3. </w:t>
      </w:r>
      <w:r>
        <w:rPr>
          <w:b/>
          <w:bCs/>
          <w:u w:val="single"/>
          <w:lang w:val="el" w:eastAsia="el"/>
        </w:rPr>
        <w:t>Τελωνεία Α΄ και Β΄ Τάξης</w:t>
      </w:r>
    </w:p>
    <w:p>
      <w:pPr>
        <w:pStyle w:val="PreambelText"/>
        <w:spacing w:before="240" w:after="240"/>
        <w:rPr>
          <w:lang w:val="el" w:eastAsia="el"/>
        </w:rPr>
      </w:pPr>
      <w:r>
        <w:rPr>
          <w:u w:val="single"/>
          <w:lang w:val="el" w:eastAsia="el"/>
        </w:rPr>
        <w:t xml:space="preserve">4. </w:t>
      </w:r>
      <w:r>
        <w:rPr>
          <w:b/>
          <w:bCs/>
          <w:u w:val="single"/>
          <w:lang w:val="el" w:eastAsia="el"/>
        </w:rPr>
        <w:t>Γενική Διεύθυνση Ηλεκτρονικής Διακυβέρνησης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Επιχειρησιακών Διαδικασιών</w:t>
      </w:r>
    </w:p>
    <w:p>
      <w:pPr>
        <w:pStyle w:val="PreambelText"/>
        <w:spacing w:before="240" w:after="240"/>
        <w:rPr>
          <w:lang w:val="el" w:eastAsia="el"/>
        </w:rPr>
      </w:pPr>
      <w:r>
        <w:rPr>
          <w:b/>
          <w:bCs/>
          <w:u w:val="single"/>
          <w:lang w:val="el" w:eastAsia="el"/>
        </w:rPr>
        <w:t xml:space="preserve">Υποδιεύθυνση Β΄ Απαιτήσεων &amp; Ελέγχου Εφαρμογών Τελωνείων Τμήμα Ε΄ (για ανάρτηση στο portal του ICISnet (E-mail: </w:t>
      </w:r>
      <w:hyperlink r:id="rId6" w:history="1">
        <w:r>
          <w:rPr>
            <w:rStyle w:val="Hyperlink"/>
            <w:b/>
            <w:bCs/>
            <w:color w:val="0000EE"/>
            <w:u w:color="0000EE"/>
            <w:lang w:val="el" w:eastAsia="el"/>
          </w:rPr>
          <w:t>p.bampali@aade.gr</w:t>
        </w:r>
      </w:hyperlink>
      <w:r>
        <w:rPr>
          <w:b/>
          <w:bCs/>
          <w:u w:val="single"/>
          <w:lang w:val="el" w:eastAsia="el"/>
        </w:rPr>
        <w:t>)</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 xml:space="preserve">1.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2. </w:t>
      </w:r>
      <w:r>
        <w:rPr>
          <w:b/>
          <w:bCs/>
          <w:u w:val="single"/>
          <w:lang w:val="el" w:eastAsia="el"/>
        </w:rPr>
        <w:t>Δ/νση Εσωτερικού Ελέγχου</w:t>
      </w:r>
    </w:p>
    <w:p>
      <w:pPr>
        <w:spacing w:before="240" w:after="240"/>
        <w:rPr>
          <w:lang w:val="el" w:eastAsia="el"/>
        </w:rPr>
      </w:pPr>
      <w:r>
        <w:rPr>
          <w:u w:val="single"/>
          <w:lang w:val="el" w:eastAsia="el"/>
        </w:rPr>
        <w:t xml:space="preserve">3.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4.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5.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6. </w:t>
      </w:r>
      <w:r>
        <w:rPr>
          <w:b/>
          <w:bCs/>
          <w:u w:val="single"/>
          <w:lang w:val="el" w:eastAsia="el"/>
        </w:rPr>
        <w:t>Διεύθυνση Επικοινωνίας</w:t>
      </w:r>
    </w:p>
    <w:p>
      <w:pPr>
        <w:spacing w:before="240" w:after="240"/>
        <w:rPr>
          <w:lang w:val="el" w:eastAsia="el"/>
        </w:rPr>
      </w:pPr>
      <w:r>
        <w:rPr>
          <w:u w:val="single"/>
          <w:lang w:val="el" w:eastAsia="el"/>
        </w:rPr>
        <w:t xml:space="preserve">7. </w:t>
      </w:r>
      <w:r>
        <w:rPr>
          <w:b/>
          <w:bCs/>
          <w:u w:val="single"/>
          <w:lang w:val="el" w:eastAsia="el"/>
        </w:rPr>
        <w:t>Δ/νση Εφαρμογής Έμμεσης Φορολογίας Τμήμα Β’ Τελών και Ειδικών ορολογιών</w:t>
      </w:r>
    </w:p>
    <w:p>
      <w:pPr>
        <w:spacing w:before="240" w:after="240"/>
        <w:rPr>
          <w:lang w:val="el" w:eastAsia="el"/>
        </w:rPr>
      </w:pPr>
      <w:r>
        <w:rPr>
          <w:u w:val="single"/>
          <w:lang w:val="el" w:eastAsia="el"/>
        </w:rPr>
        <w:t xml:space="preserve">8. </w:t>
      </w:r>
      <w:r>
        <w:rPr>
          <w:b/>
          <w:bCs/>
          <w:u w:val="single"/>
          <w:lang w:val="el" w:eastAsia="el"/>
        </w:rPr>
        <w:t>Υπουργείο Υποδομών και Μεταφορών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Γενική Δ/νση Μεταφορών Δ/νση Επιβατικών Μεταφορών (Δ32) Αναστάσεως 2 &amp; Τσιγάντε, Τ.Κ.101 91 Παπάγου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Γενική Δ/νση Διοικητικών Υπηρεσιών Δ/νση Διοικητικής Οργάνωσης (Δ6) Χαριλάου Τρικούπη 182,Τ.Κ.101 78</w:t>
      </w:r>
    </w:p>
    <w:p>
      <w:pPr>
        <w:spacing w:before="240" w:after="240"/>
        <w:rPr>
          <w:lang w:val="el" w:eastAsia="el"/>
        </w:rPr>
      </w:pPr>
      <w:r>
        <w:rPr>
          <w:u w:val="single"/>
          <w:lang w:val="el" w:eastAsia="el"/>
        </w:rPr>
        <w:t xml:space="preserve">9. </w:t>
      </w:r>
      <w:r>
        <w:rPr>
          <w:b/>
          <w:bCs/>
          <w:u w:val="single"/>
          <w:lang w:val="el" w:eastAsia="el"/>
        </w:rPr>
        <w:t>Ομοσπονδία Εκτελωνιστών Ελλάδας- Τσαμαδού 38 - Τ.Κ. 18531, Πειραιάς</w:t>
      </w:r>
    </w:p>
    <w:p>
      <w:pPr>
        <w:spacing w:before="240" w:after="240"/>
        <w:rPr>
          <w:lang w:val="el" w:eastAsia="el"/>
        </w:rPr>
      </w:pPr>
      <w:r>
        <w:rPr>
          <w:u w:val="single"/>
          <w:lang w:val="el" w:eastAsia="el"/>
        </w:rPr>
        <w:t xml:space="preserve">10. </w:t>
      </w:r>
      <w:r>
        <w:rPr>
          <w:b/>
          <w:bCs/>
          <w:u w:val="single"/>
          <w:lang w:val="el" w:eastAsia="el"/>
        </w:rPr>
        <w:t>Σύλλογος Εκτελωνιστών, Αθήνας – Πειραιά Τσαμαδού 38 - Τ. Κ. 18531, Πειραιάς</w:t>
      </w:r>
    </w:p>
    <w:p>
      <w:pPr>
        <w:spacing w:before="240" w:after="240"/>
        <w:rPr>
          <w:lang w:val="el" w:eastAsia="el"/>
        </w:rPr>
      </w:pPr>
      <w:r>
        <w:rPr>
          <w:u w:val="single"/>
          <w:lang w:val="el" w:eastAsia="el"/>
        </w:rPr>
        <w:t xml:space="preserve">11. </w:t>
      </w:r>
      <w:r>
        <w:rPr>
          <w:b/>
          <w:bCs/>
          <w:u w:val="single"/>
          <w:lang w:val="el" w:eastAsia="el"/>
        </w:rPr>
        <w:t>Σύλλογος Εκτελωνιστών Θεσσαλονίκης Κουντουριώτου 13 - Τ.Κ. 54626, Θεσσαλονίκη</w:t>
      </w:r>
    </w:p>
    <w:p>
      <w:pPr>
        <w:spacing w:before="240" w:after="240"/>
        <w:rPr>
          <w:lang w:val="el" w:eastAsia="el"/>
        </w:rPr>
      </w:pPr>
      <w:r>
        <w:rPr>
          <w:u w:val="single"/>
          <w:lang w:val="el" w:eastAsia="el"/>
        </w:rPr>
        <w:t xml:space="preserve">12.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u w:val="single"/>
          <w:lang w:val="el" w:eastAsia="el"/>
        </w:rPr>
        <w:t xml:space="preserve">13. </w:t>
      </w:r>
      <w:r>
        <w:rPr>
          <w:b/>
          <w:bCs/>
          <w:u w:val="single"/>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u w:val="single"/>
          <w:lang w:val="el" w:eastAsia="el"/>
        </w:rPr>
        <w:t xml:space="preserve">14. </w:t>
      </w:r>
      <w:r>
        <w:rPr>
          <w:b/>
          <w:bCs/>
          <w:u w:val="single"/>
          <w:lang w:val="el" w:eastAsia="el"/>
        </w:rPr>
        <w:t>Σύνδεσμος Εισαγωγέων - Αντιπροσώπων Αυτοκινήτων Λεωφ. Κηφισίας 296, Τ.Κ.152 32 Χαλάνδρι</w:t>
      </w:r>
    </w:p>
    <w:p>
      <w:pPr>
        <w:spacing w:before="240" w:after="240"/>
        <w:rPr>
          <w:lang w:val="el" w:eastAsia="el"/>
        </w:rPr>
      </w:pPr>
      <w:r>
        <w:rPr>
          <w:u w:val="single"/>
          <w:lang w:val="el" w:eastAsia="el"/>
        </w:rPr>
        <w:t xml:space="preserve">15. </w:t>
      </w:r>
      <w:r>
        <w:rPr>
          <w:b/>
          <w:bCs/>
          <w:u w:val="single"/>
          <w:lang w:val="el" w:eastAsia="el"/>
        </w:rPr>
        <w:t>Σύνδεσμος Εμπόρων Εισαγωγέων αυτοκινήτων Ελλάδος Ελ. Βενιζέλου 248,Τ.Κ. 176 75 Καλλιθέα</w:t>
      </w:r>
    </w:p>
    <w:p>
      <w:pPr>
        <w:spacing w:before="240" w:after="240"/>
        <w:rPr>
          <w:lang w:val="el" w:eastAsia="el"/>
        </w:rPr>
      </w:pPr>
      <w:r>
        <w:rPr>
          <w:u w:val="single"/>
          <w:lang w:val="el" w:eastAsia="el"/>
        </w:rPr>
        <w:t xml:space="preserve">16. </w:t>
      </w:r>
      <w:r>
        <w:rPr>
          <w:b/>
          <w:bCs/>
          <w:u w:val="single"/>
          <w:lang w:val="el" w:eastAsia="el"/>
        </w:rPr>
        <w:t>Πανελλήνια Ομοσπονδία ΤΑΞΙ &amp; Αγοραίων Πειραιώς 4,Τ.Κ. 104 31 Αθήνα</w:t>
      </w:r>
    </w:p>
    <w:p>
      <w:pPr>
        <w:spacing w:before="240" w:after="240"/>
        <w:rPr>
          <w:lang w:val="el" w:eastAsia="el"/>
        </w:rPr>
      </w:pPr>
      <w:r>
        <w:rPr>
          <w:u w:val="single"/>
          <w:lang w:val="el" w:eastAsia="el"/>
        </w:rPr>
        <w:t xml:space="preserve">17. </w:t>
      </w:r>
      <w:r>
        <w:rPr>
          <w:b/>
          <w:bCs/>
          <w:u w:val="single"/>
          <w:lang w:val="el" w:eastAsia="el"/>
        </w:rPr>
        <w:t>Συνδικάτο Αυτοκινητιστών ταξί Αττικής (Σ.Α.Τ.Α.) Μάρνη 17, Τ.Κ.104 33 Αθήνα</w:t>
      </w:r>
    </w:p>
    <w:p>
      <w:pPr>
        <w:spacing w:before="240" w:after="240"/>
        <w:rPr>
          <w:lang w:val="el" w:eastAsia="el"/>
        </w:rPr>
      </w:pPr>
      <w:r>
        <w:rPr>
          <w:u w:val="single"/>
          <w:lang w:val="el" w:eastAsia="el"/>
        </w:rPr>
        <w:t xml:space="preserve">18. </w:t>
      </w:r>
      <w:r>
        <w:rPr>
          <w:b/>
          <w:bCs/>
          <w:u w:val="single"/>
          <w:lang w:val="el" w:eastAsia="el"/>
        </w:rPr>
        <w:t>Ένωση Εισαγωγέων Μεταχειρισμένων Ανταλλακτικών Αυτοκινήτων Αθηνών, Πειραιώς και Περιχώρων (Ε.Ε.Μ.Α.Α.) Κασσάνδρας 15, Τ.Κ.104 47 Αθήνα</w:t>
      </w:r>
    </w:p>
    <w:p>
      <w:pPr>
        <w:spacing w:before="240" w:after="240"/>
        <w:rPr>
          <w:lang w:val="el" w:eastAsia="el"/>
        </w:rPr>
      </w:pPr>
      <w:r>
        <w:rPr>
          <w:u w:val="single"/>
          <w:lang w:val="el" w:eastAsia="el"/>
        </w:rPr>
        <w:t xml:space="preserve">19. </w:t>
      </w:r>
      <w:r>
        <w:rPr>
          <w:b/>
          <w:bCs/>
          <w:u w:val="single"/>
          <w:lang w:val="el" w:eastAsia="el"/>
        </w:rPr>
        <w:t>Σύνδεσμος Τουριστικών Επιχειρήσεων Ενοικιάσεως Αυτοκινήτων Λεωφόρου Λαυρίου 21, Γλυκά Νερά,( email:</w:t>
      </w:r>
      <w:hyperlink r:id="rId7" w:history="1">
        <w:r>
          <w:rPr>
            <w:rStyle w:val="Hyperlink"/>
            <w:b/>
            <w:bCs/>
            <w:color w:val="0000EE"/>
            <w:u w:color="0000EE"/>
            <w:lang w:val="el" w:eastAsia="el"/>
          </w:rPr>
          <w:t>steea@steea.gr</w:t>
        </w:r>
      </w:hyperlink>
      <w:r>
        <w:rPr>
          <w:b/>
          <w:bCs/>
          <w:u w:val="single"/>
          <w:lang w:val="el" w:eastAsia="el"/>
        </w:rPr>
        <w:t>)</w:t>
      </w:r>
    </w:p>
    <w:p>
      <w:pPr>
        <w:spacing w:before="240" w:after="240"/>
        <w:rPr>
          <w:lang w:val="el" w:eastAsia="el"/>
        </w:rPr>
      </w:pPr>
      <w:r>
        <w:rPr>
          <w:b/>
          <w:bCs/>
          <w:u w:val="single"/>
          <w:lang w:val="el" w:eastAsia="el"/>
        </w:rPr>
        <w:t xml:space="preserve">20. </w:t>
      </w:r>
      <w:r>
        <w:rPr>
          <w:b/>
          <w:bCs/>
          <w:u w:val="single"/>
          <w:lang w:val="el" w:eastAsia="el"/>
        </w:rPr>
        <w:t>Ένωση Ελληνικών Εταιριών Χρηματοδοτικής Μίσθωσης Λ. Αθηνών 128 – 132 και Ιφιγένειας, Τ.Κ.104 42 Αθήνα (email:</w:t>
      </w:r>
      <w:hyperlink r:id="rId8" w:history="1">
        <w:r>
          <w:rPr>
            <w:rStyle w:val="Hyperlink"/>
            <w:b/>
            <w:bCs/>
            <w:color w:val="0000EE"/>
            <w:u w:color="0000EE"/>
            <w:lang w:val="el" w:eastAsia="el"/>
          </w:rPr>
          <w:t>a.panoriou@nbgleasing.gr</w:t>
        </w:r>
        <w:r>
          <w:rPr>
            <w:rStyle w:val="Hyperlink"/>
            <w:b/>
            <w:bCs/>
            <w:color w:val="0000EE"/>
            <w:u w:color="0000EE"/>
            <w:lang w:val="el" w:eastAsia="el"/>
          </w:rPr>
          <w:t>)</w:t>
        </w:r>
      </w:hyperlink>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κ. Διοικητή ΑΑΔΕ</w:t>
      </w:r>
    </w:p>
    <w:p>
      <w:pPr>
        <w:spacing w:before="240" w:after="240"/>
        <w:rPr>
          <w:lang w:val="el" w:eastAsia="el"/>
        </w:rPr>
      </w:pPr>
      <w:r>
        <w:rPr>
          <w:b/>
          <w:bCs/>
          <w:u w:val="single"/>
          <w:lang w:val="el" w:eastAsia="el"/>
        </w:rPr>
        <w:t xml:space="preserve">2.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 δ) 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3.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5.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p.bampali@aade.gr" TargetMode="External" /><Relationship Id="rId7" Type="http://schemas.openxmlformats.org/officeDocument/2006/relationships/hyperlink" Target="mailto:steea@steea.gr" TargetMode="External" /><Relationship Id="rId8" Type="http://schemas.openxmlformats.org/officeDocument/2006/relationships/hyperlink" Target="mailto:a.panoriou@nbgleasing.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