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Μοσχάτο, 30/12/2025</w:t>
      </w:r>
    </w:p>
    <w:p>
      <w:pPr>
        <w:pStyle w:val="PreambelText"/>
        <w:spacing w:before="240" w:after="240"/>
        <w:rPr>
          <w:lang w:val="el" w:eastAsia="el"/>
        </w:rPr>
      </w:pPr>
      <w:r>
        <w:rPr>
          <w:lang w:val="el" w:eastAsia="el"/>
        </w:rPr>
        <w:t>Α. Π.: Εισερχ. Ε2111</w:t>
      </w:r>
    </w:p>
    <w:p>
      <w:pPr>
        <w:pStyle w:val="PreambelText"/>
        <w:spacing w:before="240" w:after="240"/>
        <w:rPr>
          <w:lang w:val="el" w:eastAsia="el"/>
        </w:rPr>
      </w:pPr>
      <w:r>
        <w:rPr>
          <w:lang w:val="el" w:eastAsia="el"/>
        </w:rPr>
        <w:t>Α. Π. Αποστολέα: Ε2111 Ημ/νία Αποστολής: 30/12/2025</w:t>
      </w:r>
    </w:p>
    <w:p>
      <w:pPr>
        <w:pStyle w:val="PreambelText"/>
        <w:spacing w:before="240" w:after="240"/>
        <w:rPr>
          <w:lang w:val="el" w:eastAsia="el"/>
        </w:rPr>
      </w:pPr>
      <w:r>
        <w:rPr>
          <w:b/>
          <w:bCs/>
          <w:lang w:val="el" w:eastAsia="el"/>
        </w:rPr>
        <w:t>ΓΕΝΙΚΗ ΔΙΕΥΘΥΝΣΗ ΤΕΛΩΝΕΙΩΝ ΚΑΙ ΕΦΚ ΔΙΕΥΘΥΝΣΗ ΣΤΡΑΤΗΓΙΚΗΣ ΤΕΛΩΝΕΙΑΚΩΝ ΕΛΕΓΧΩΝ ΚΑΙ ΠΑΡΑΒΑΣΕΩΝ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ΔΙΩΞΗΣ ΛΑΘΡΕΜΠΟΡΙΟΥ</w:t>
      </w:r>
    </w:p>
    <w:p>
      <w:pPr>
        <w:spacing w:before="240" w:after="240"/>
        <w:rPr>
          <w:lang w:val="el" w:eastAsia="el"/>
        </w:rPr>
      </w:pPr>
      <w:r>
        <w:rPr>
          <w:b/>
          <w:bCs/>
          <w:lang w:val="el" w:eastAsia="el"/>
        </w:rPr>
        <w:t>ΚΑΙ ΟΡΓΑΝΩΜΕΝΟΥ ΕΓΚΛΗΜΑΤΟΣ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2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Σοφία Ντάλα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2131410571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dstepdrugs@aade.gr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Παροχή οδηγιών σχετικά με την εφαρμογή της αριθμ. Α.1176/2024 Κ.Υ.Α. με θέμα «Διαδικασίες, τεχνικές προδιαγραφές, όροι και προϋποθέσεις εγκατάστασης, των συστημάτων παρακολούθησης και ηλεκτρονικής μετάδοσης δεδομένων εισροών – εκροών, α) στις εγκαταστάσεις κατόχων πρατηρίων παροχής καυσίμων και ενέργειας, β) στις εγκαταστάσεις κατόχων άδειας λιανικής εμπορίας - πωλητή πετρελαίου θέρμανσης και γ) στις εγκαταστάσεις που προβλέπονται στις περιπτώσεις ζζ, ηη, θθ, ιι, ιαια, ιβιβ, ιγιγ, της παρ. 7α του άρθρου 31 του ν.3784/2009 (Α΄137). Απαιτήσεις συμμόρφωσης, πρόσβασης των υπηρεσιών στα δεδομένα, χρονοδιάγραμμα εφαρμογής, μεταβατικές διατάξεις και κάθε αναγκαία λεπτομέρεια που αφορά τη διασφάλιση των δεδομένων του συστήματος εισροών – εκροών» (Β’ 6827).</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Με την παρούσα παρέχονται οδηγίες σχετικά με την εφαρμογή της υπό στοιχεία Α. 1176/5-12-2024</w:t>
      </w:r>
    </w:p>
    <w:p>
      <w:pPr>
        <w:spacing w:before="240" w:after="240"/>
        <w:rPr>
          <w:lang w:val="el" w:eastAsia="el"/>
        </w:rPr>
      </w:pPr>
      <w:r>
        <w:rPr>
          <w:b/>
          <w:bCs/>
          <w:lang w:val="el" w:eastAsia="el"/>
        </w:rPr>
        <w:t>Κοινής Υπουργικής Απόφασης με θέμα: «Διαδικασίες, τεχνικές προδιαγραφές, όροι και προϋποθέσεις εγκατάστασης, των συστημάτων παρακολούθησης και ηλεκτρονικής μετάδοσης δεδομένων εισροών - εκροών, α) στις εγκαταστάσεις κατόχων πρατηρίων παροχής καυσίμων και ενέργειας, β) στις εγκαταστάσεις κατόχων άδειας λιανικής εμπορίας - πωλητή πετρελαίου θέρμανσης και γ) στις εγκαταστάσεις που προβλέπονται στις περιπτώσεις ζζ, ηη, θθ, ιι, ιαια, ιβιβ, ιγιγ, της παρ. 7α του άρθρου 31 του ν.3784/2009 (Α΄137). Απαιτήσεις συμμόρφωσης, πρόσβασης των υπηρεσιών στα δεδομένα, χρονοδιάγραμμα εφαρμογής, μεταβατικές διατάξεις και κάθε αναγκαία λεπτομέρεια που αφορά τη διασφάλιση των δεδομένων του συστήματος εισροών εκροών» (Β΄6827).</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Ειδικότερα, με την παρούσα παρέχονται οδηγίες, σχετικά με τα ακόλουθα:</w:t>
      </w:r>
    </w:p>
    <w:p>
      <w:pPr>
        <w:spacing w:before="240" w:after="240"/>
        <w:rPr>
          <w:lang w:val="el" w:eastAsia="el"/>
        </w:rPr>
      </w:pPr>
      <w:r>
        <w:rPr>
          <w:lang w:val="el" w:eastAsia="el"/>
        </w:rPr>
        <w:t xml:space="preserve">• </w:t>
      </w:r>
      <w:r>
        <w:rPr>
          <w:b/>
          <w:bCs/>
          <w:lang w:val="el" w:eastAsia="el"/>
        </w:rPr>
        <w:t>Δυνατότητα διαλειτουργικότητας της υπολογιστικής μονάδας του συστήματος εισροών - εκροών με άλλες εφαρμογές, οι οποίες καταγράφονται ρητά.</w:t>
      </w:r>
    </w:p>
    <w:p>
      <w:pPr>
        <w:spacing w:before="240" w:after="240"/>
        <w:rPr>
          <w:lang w:val="el" w:eastAsia="el"/>
        </w:rPr>
      </w:pPr>
      <w:r>
        <w:rPr>
          <w:lang w:val="el" w:eastAsia="el"/>
        </w:rPr>
        <w:t xml:space="preserve">• </w:t>
      </w:r>
      <w:r>
        <w:rPr>
          <w:b/>
          <w:bCs/>
          <w:lang w:val="el" w:eastAsia="el"/>
        </w:rPr>
        <w:t>Διαβίβαση δεδομένων εισροών - εκροών από πρατήρια που λειτουργούν ως υποκαταστήματα προς το κεντρικό/έδρα τους.</w:t>
      </w:r>
    </w:p>
    <w:p>
      <w:pPr>
        <w:spacing w:before="240" w:after="240"/>
        <w:rPr>
          <w:lang w:val="el" w:eastAsia="el"/>
        </w:rPr>
      </w:pPr>
      <w:r>
        <w:rPr>
          <w:lang w:val="el" w:eastAsia="el"/>
        </w:rPr>
        <w:t xml:space="preserve">• </w:t>
      </w:r>
      <w:r>
        <w:rPr>
          <w:b/>
          <w:bCs/>
          <w:lang w:val="el" w:eastAsia="el"/>
        </w:rPr>
        <w:t>Διαδικασία ενημέρωσης σε περίπτωση δυσλειτουργίας ή βλάβης του συστήματος εισροών - εκροών.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Στο πεδίο εφαρμογής της παρούσας εμπίπτουν οι κάτοχοι πρατηρίων παροχής καυσίμων και ενέργειας, οι κάτοχοι άδειας λιανικής εμπορίας – πωλητή πετρελαίου θέρμανσης, οι εκμεταλλευτές πρατηρίων καυσίμων των περιπτώσεων ζζ, ηη, θθ, ιι, ιαια, ιβιβ, ιγιγ της παρ. 7</w:t>
      </w:r>
      <w:r>
        <w:rPr>
          <w:b/>
          <w:bCs/>
          <w:sz w:val="30"/>
          <w:szCs w:val="30"/>
          <w:vertAlign w:val="superscript"/>
          <w:lang w:val="el" w:eastAsia="el"/>
        </w:rPr>
        <w:t>α</w:t>
      </w:r>
      <w:r>
        <w:rPr>
          <w:b/>
          <w:bCs/>
          <w:lang w:val="el" w:eastAsia="el"/>
        </w:rPr>
        <w:t xml:space="preserve"> του άρθρου 31 του Ν. 3784/2009, οι εγκαταστάτες συστημάτων εισροών - εκροών, οι κατασκευαστές λογισμικού, οι διαπιστευμένοι φορείς ογκομέτρησης δεξαμενών καυσίμων, η ΑΑΔΕ, καθώς και κάθε δημόσια Αρχή, που είναι αρμόδια για τον έλεγχο της λειτουργίας του συστήματος παρακολούθησης καυσίμων εισροών - εκροών.</w:t>
      </w:r>
    </w:p>
    <w:p>
      <w:pPr>
        <w:spacing w:before="240" w:after="240"/>
        <w:rPr>
          <w:lang w:val="el" w:eastAsia="el"/>
        </w:rPr>
      </w:pPr>
      <w:r>
        <w:rPr>
          <w:b/>
          <w:bCs/>
          <w:lang w:val="el" w:eastAsia="el"/>
        </w:rPr>
        <w:t>Σχετικά με την εφαρμογή της κυα Α. 1176/2024 (Β΄6827), παρέχονται οι κάτωθι οδηγίες:</w:t>
      </w:r>
    </w:p>
    <w:p>
      <w:pPr>
        <w:spacing w:before="240" w:after="240"/>
        <w:rPr>
          <w:lang w:val="el" w:eastAsia="el"/>
        </w:rPr>
      </w:pPr>
      <w:r>
        <w:rPr>
          <w:b/>
          <w:bCs/>
          <w:lang w:val="el" w:eastAsia="el"/>
        </w:rPr>
        <w:t>Α. Όσον αφορά στο άρθρο 9 της κυα Α.1176/2024 και ως προς τη δυνατότητα ή μη διαλειτουργικότητας της υπολογιστικής μονάδας με άλλες εφαρμογές, διευκρινίζονται τα ακόλουθα:</w:t>
      </w:r>
    </w:p>
    <w:p>
      <w:pPr>
        <w:spacing w:before="240" w:after="240"/>
        <w:rPr>
          <w:lang w:val="el" w:eastAsia="el"/>
        </w:rPr>
      </w:pPr>
      <w:r>
        <w:rPr>
          <w:lang w:val="el" w:eastAsia="el"/>
        </w:rPr>
        <w:t xml:space="preserve">1. </w:t>
      </w:r>
      <w:r>
        <w:rPr>
          <w:b/>
          <w:bCs/>
          <w:lang w:val="el" w:eastAsia="el"/>
        </w:rPr>
        <w:t>Η υπολογιστική μονάδα της περ. γ) της παρ. 1 του άρθρου 3 της ανωτέρω απόφασης που ενσωματώνει την εφαρμογή λήψης και αποστολής δεδομένων εισροών εκροών συνδέεται αποκλειστικά με τα υποσυστήματα των περ. α) και β) της παρ. 1 του εν λόγω άρθρου 3 και δεν επιτρέπεται η ενσύρματη ή ασύρματη σύνδεσή της με άλλα μηχανικά μέρη, εξοπλισμό και εφαρμογές, εκτός αυτών που διαβιβάζουν δεδομένα ποσοτήτων και αξιών σε πληροφοριακά συστήματα Δημοσίων Αρχών.</w:t>
      </w:r>
    </w:p>
    <w:p>
      <w:pPr>
        <w:spacing w:before="240" w:after="240"/>
        <w:rPr>
          <w:lang w:val="el" w:eastAsia="el"/>
        </w:rPr>
      </w:pPr>
      <w:r>
        <w:rPr>
          <w:b/>
          <w:bCs/>
          <w:lang w:val="el" w:eastAsia="el"/>
        </w:rPr>
        <w:t>Ειδικότερα, με ευθύνη του εγκαταστάτη συστήματος εισροών εκροών η υπολογιστική μονάδα συνδέεται μόνο με:</w:t>
      </w:r>
    </w:p>
    <w:p>
      <w:pPr>
        <w:pStyle w:val="StructureList1"/>
        <w:spacing w:before="120" w:after="0"/>
        <w:rPr>
          <w:lang w:val="el" w:eastAsia="el"/>
        </w:rPr>
      </w:pPr>
      <w:r>
        <w:rPr>
          <w:lang w:val="el" w:eastAsia="el"/>
        </w:rPr>
        <w:t>α)</w:t>
      </w:r>
      <w:r>
        <w:rPr>
          <w:lang w:val="en" w:eastAsia="en"/>
        </w:rPr>
        <w:tab/>
      </w:r>
      <w:r>
        <w:rPr>
          <w:b/>
          <w:bCs/>
          <w:lang w:val="el" w:eastAsia="el"/>
        </w:rPr>
        <w:t>τις μονάδες ελέγχου των βυθομετρικών ράβδων (controllers), τις μονάδες ελέγχου των αντλιών, τον φορολογικό μηχανισμό και τον δικτυακό εξοπλισμό, μέσω του οποίου διαβιβάζονται δεδομένα ποσότητας, αξίας και αριθμητικά δεδομένα στη βάση της ΑΑΔΕ, καθώς και με εκτυπωτές και σταθεροποιητή τάσης (UPS), δηλαδή επικοινωνεί με το σύνολο των μερών που αποτελούν το εισροών εκροών.</w:t>
      </w:r>
    </w:p>
    <w:p>
      <w:pPr>
        <w:pStyle w:val="StructureList1"/>
        <w:spacing w:before="120" w:after="0"/>
        <w:rPr>
          <w:lang w:val="el" w:eastAsia="el"/>
        </w:rPr>
      </w:pPr>
      <w:r>
        <w:rPr>
          <w:lang w:val="el" w:eastAsia="el"/>
        </w:rPr>
        <w:t>β)</w:t>
      </w:r>
      <w:r>
        <w:rPr>
          <w:lang w:val="en" w:eastAsia="en"/>
        </w:rPr>
        <w:tab/>
      </w:r>
      <w:r>
        <w:rPr>
          <w:b/>
          <w:bCs/>
          <w:lang w:val="el" w:eastAsia="el"/>
        </w:rPr>
        <w:t>τους αυτόματους πωλητές καυσίμων που βρίσκονται στην αδειοδοτημένη εγκατάσταση.</w:t>
      </w:r>
    </w:p>
    <w:p>
      <w:pPr>
        <w:pStyle w:val="StructureList1"/>
        <w:spacing w:before="120" w:after="0"/>
        <w:rPr>
          <w:lang w:val="el" w:eastAsia="el"/>
        </w:rPr>
      </w:pPr>
      <w:r>
        <w:rPr>
          <w:lang w:val="el" w:eastAsia="el"/>
        </w:rPr>
        <w:t>γ)</w:t>
      </w:r>
      <w:r>
        <w:rPr>
          <w:lang w:val="en" w:eastAsia="en"/>
        </w:rPr>
        <w:tab/>
      </w:r>
      <w:r>
        <w:rPr>
          <w:b/>
          <w:bCs/>
          <w:lang w:val="el" w:eastAsia="el"/>
        </w:rPr>
        <w:t>τους Φορολογικούς Ηλεκτρονικούς Μηχανισμούς (Φ.Η.Μ.) και τους Παρόχους Υπηρεσιών Ηλεκτρονικής Έκδοσης Στοιχείων (Υ.Π.Α.Η.Ε.Σ.) για την έκδοση φορολογικών παραστατικών, τα οποία διαβιβάζονται στη βάση δεδομένων της ΑΑΔΕ.</w:t>
      </w:r>
    </w:p>
    <w:p>
      <w:pPr>
        <w:pStyle w:val="StructureList1"/>
        <w:spacing w:before="120" w:after="0"/>
        <w:rPr>
          <w:lang w:val="el" w:eastAsia="el"/>
        </w:rPr>
      </w:pPr>
      <w:r>
        <w:rPr>
          <w:lang w:val="el" w:eastAsia="el"/>
        </w:rPr>
        <w:t>δ)</w:t>
      </w:r>
      <w:r>
        <w:rPr>
          <w:lang w:val="en" w:eastAsia="en"/>
        </w:rPr>
        <w:tab/>
      </w:r>
      <w:r>
        <w:rPr>
          <w:b/>
          <w:bCs/>
          <w:lang w:val="el" w:eastAsia="el"/>
        </w:rPr>
        <w:t>Τα συστήματα ERP και τις εφαρμογές έκδοσης φορολογικών παραστατικών (του υποκαταστήματος και της έδρας), τα συστήματα αναγνώρισης οχημάτων, προσωπικού και πελατών, τις ηλεκτρονικές πινακίδες τιμών και τα προγράμματα ανταμοιβής (loyalty plans), τα οποία μπορούν να έχουν πρόσβαση στο σύστημα εισροών εκροών μόνο σε λειτουργία ανάγνωσης (read only) μέσω τεκμηριωμένου μηχανισμού ανάγνωσης (API) ή άλλης διεπαφής (interface) εγκεκριμένης από τον κατασκευαστή λογισμικού εισροών εκροών. Δεν επιτρέπεται η οποιαδήποτε καταγραφή ή αλλοίωση δεδομένων (write access, update events, data injection) ή οποιαδήποτε διαδικασία που δύναται να μεταβάλει δομές, αριθμητικά δεδομένα ή την επιχειρησιακή λειτουργία του συστήματος εισροών - εκροών και των υποσυστημάτων ή των μερών με τα οποία συνδέεται. Κάθε πρόσβαση ή σύνδεση τρίτου συστήματος, ανεξαρτήτως αν πραγματοποιεί ενέργεια στη βάση δεδομένων ή όχι, καταγράφεται στο αρχείο καταγραφής (audit log), εξαιρουμένων των ενεργειών αποκλειστικής ανάγνωσης δεδομένων, οι οποίες δεν αποθηκεύονται. Με ευθύνη του Εγκαταστάτη εισροών εκροών, τα αρχεία καταγραφής τηρούνται για χρονικό διάστημα ενός (1) έτους στο τοπικό σύστημα εισροών–εκροών των πρατηρίων και σε εφεδρικό αποθηκευτικό χώρο στο υπολογιστικό νέφος (cloud backup).</w:t>
      </w:r>
    </w:p>
    <w:p>
      <w:pPr>
        <w:spacing w:before="240" w:after="240"/>
        <w:rPr>
          <w:lang w:val="el" w:eastAsia="el"/>
        </w:rPr>
      </w:pPr>
      <w:r>
        <w:rPr>
          <w:b/>
          <w:bCs/>
          <w:lang w:val="el" w:eastAsia="el"/>
        </w:rPr>
        <w:t>Ο εγκαταστάτης του συστήματος παρακολούθησης εισροών εκροών και ο κατασκευαστής λογισμικού, σύμφωνα με το άρθρο 8 της ως άνω κυα , για όλες τις ανωτέρω περιπτώσεις, λαμβάνει και προσδιορίζει τα κατάλληλα μέτρα προστασίας κατά ενδεχόμενης προσπάθειας παραποίησης του συστήματος παρακολούθησης καυσίμων εισροών εκροών και των υποσυστημάτων του και υποχρεούται να διαθέτει στις αρμόδιες ελεγκτικές Υπηρεσίες τα στοιχεία τεκμηρίωσης και τα δεδομένα που διατηρεί κατά ενδεχόμενης προσπάθειας παραποίησης, εφόσον του ζητηθούν.</w:t>
      </w:r>
    </w:p>
    <w:p>
      <w:pPr>
        <w:spacing w:before="240" w:after="240"/>
        <w:rPr>
          <w:lang w:val="el" w:eastAsia="el"/>
        </w:rPr>
      </w:pPr>
      <w:r>
        <w:rPr>
          <w:b/>
          <w:bCs/>
          <w:lang w:val="el" w:eastAsia="el"/>
        </w:rPr>
        <w:t>Η υπολογιστική μονάδα που είναι εγκατεστημένη στα πρατήρια, τα οποία λειτουργούν ως υποκαταστήματα, επιτρέπεται να διαβιβάζει τα δεδομένα του συστήματος παρακολούθησης εισροών – εκροών, ταυτόχρονα και αδιάλειπτα, στη βάση δεδομένων της ΑΑΔΕ και στο κεντρικό κατάστημα.</w:t>
      </w:r>
    </w:p>
    <w:p>
      <w:pPr>
        <w:spacing w:before="240" w:after="240"/>
        <w:rPr>
          <w:lang w:val="el" w:eastAsia="el"/>
        </w:rPr>
      </w:pPr>
      <w:r>
        <w:rPr>
          <w:b/>
          <w:bCs/>
          <w:lang w:val="el" w:eastAsia="el"/>
        </w:rPr>
        <w:t>Β. Σχετικά με την εφαρμογή της παρ. 3 του άρθρου 11 και ειδικότερα ως προς τη διαδικασία ενημέρωσης του εγκαταστάτη από τον εκμεταλλευτή της εγκατάστασης για την ύπαρξη δυσλειτουργίας ή βλάβης του συστήματος παρακολούθησης καυσίμων εισροών - εκροών, η κλήση για αποκατάσταση της βλάβης δύναται να αποδεικνύεται: α) από την καταχώριση του σχετικού συμβάντος στην ψηφιακή εφαρμογή του Μητρώου Δεξαμενών και Πρατηρίων στην ενότητα «Κατάσταση», β) από την επικοινωνία μέσω μηνύματος ηλεκτρονικού ταχυδρομείου με τον εγκαταστάτη του συστήματος εισροών εκροών, γ) από την προσκόμιση των φορολογικών παραστατικών και των τεχνικών δελτίων αποκατάστασης της βλάβης,</w:t>
      </w:r>
    </w:p>
    <w:p>
      <w:pPr>
        <w:spacing w:before="240" w:after="240"/>
        <w:rPr>
          <w:lang w:val="el" w:eastAsia="el"/>
        </w:rPr>
      </w:pPr>
      <w:r>
        <w:rPr>
          <w:b/>
          <w:bCs/>
          <w:lang w:val="el" w:eastAsia="el"/>
        </w:rPr>
        <w:t>Ειδικότερα, ως προς την καταχώριση του σχετικού συμβάντος στην ανωτέρω ψηφιακή εφαρμογή, συμπληρώνονται τα ακόλουθα πεδία:</w:t>
      </w:r>
    </w:p>
    <w:p>
      <w:pPr>
        <w:spacing w:before="240" w:after="240"/>
        <w:rPr>
          <w:lang w:val="el" w:eastAsia="el"/>
        </w:rPr>
      </w:pPr>
      <w:r>
        <w:rPr>
          <w:lang w:val="el" w:eastAsia="el"/>
        </w:rPr>
        <w:t xml:space="preserve">• </w:t>
      </w:r>
      <w:r>
        <w:rPr>
          <w:b/>
          <w:bCs/>
          <w:lang w:val="el" w:eastAsia="el"/>
        </w:rPr>
        <w:t>Όταν η βλάβη αφορά στον υλικοτεχνικό εξοπλισμό του συστήματος εισροών - εκροών, η καταχώριση πραγματοποιείται μέσω της επιλογής «Νέα κατάσταση - Βλάβη υλικοτεχνικού εξοπλισμού», συνοδευόμενη από τα σχετικά αποδεικτικά στοιχεία, τα οποία ο εκμεταλλευτής του πρατηρίου οφείλει να τηρεί στη διάθεσή του.</w:t>
      </w:r>
    </w:p>
    <w:p>
      <w:pPr>
        <w:spacing w:before="240" w:after="240"/>
        <w:rPr>
          <w:lang w:val="el" w:eastAsia="el"/>
        </w:rPr>
      </w:pPr>
      <w:r>
        <w:rPr>
          <w:lang w:val="el" w:eastAsia="el"/>
        </w:rPr>
        <w:t xml:space="preserve">• </w:t>
      </w:r>
      <w:r>
        <w:rPr>
          <w:b/>
          <w:bCs/>
          <w:lang w:val="el" w:eastAsia="el"/>
        </w:rPr>
        <w:t>Όταν η βλάβη αφορά το λογισμικό του συστήματος παρακολούθησης καυσίμων εισροών - εκροών, η καταχώριση πραγματοποιείται μέσω της επιλογής «Νέα κατάσταση - Αστοχία/βλάβη λογισμικού», επίσης με την τήρηση των σχετικών αποδεικτικών στοιχείων από τον εκμεταλλευτή.</w:t>
      </w:r>
    </w:p>
    <w:p>
      <w:pPr>
        <w:spacing w:before="240" w:after="240"/>
        <w:rPr>
          <w:lang w:val="el" w:eastAsia="el"/>
        </w:rPr>
      </w:pPr>
      <w:r>
        <w:rPr>
          <w:b/>
          <w:bCs/>
          <w:lang w:val="el" w:eastAsia="el"/>
        </w:rPr>
        <w:t>Κατά το χρονικό διάστημα που διαρκεί η δυσλειτουργία ή βλάβη και κατά το μέρος των λειτουργιών του συστήματος εισροών - εκροών που αυτή αφορά (υλικοτεχνικό εξοπλισμό ή λογισμικό), οι αντίστοιχες λειτουργίες του πρατηρίου καυσίμων, με ευθύνη του εκμεταλλευτή του πρατηρίου καυσίμων, διακόπτονται μέχρι την πλήρη αποκατάστασή της. Ειδικότερα, εάν ένα μέρος του συστήματος υποστεί δυσλειτουργία ή βλάβη, τότε αυτό και τα επηρεαζόμενα μέρη ή λειτουργίες του συστήματος διακόπτονται (π.χ. -βλάβη στην αντλία οδηγεί σε διακοπή λειτουργίας της αντλίας και της συνδεδεμένης με αυτή δεξαμενής) μέχρι την αποκατάσταση της δυσλειτουργίας ή βλάβης.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Όλες οι Τελωνειακές Αρχές</w:t>
      </w:r>
    </w:p>
    <w:p>
      <w:pPr>
        <w:spacing w:before="240" w:after="240"/>
        <w:rPr>
          <w:lang w:val="el" w:eastAsia="el"/>
        </w:rPr>
      </w:pPr>
      <w:r>
        <w:rPr>
          <w:lang w:val="el" w:eastAsia="el"/>
        </w:rPr>
        <w:t xml:space="preserve">2. </w:t>
      </w:r>
      <w:r>
        <w:rPr>
          <w:b/>
          <w:bCs/>
          <w:lang w:val="el" w:eastAsia="el"/>
        </w:rPr>
        <w:t>Τελωνειακές Περιφέρειες</w:t>
      </w:r>
    </w:p>
    <w:p>
      <w:pPr>
        <w:spacing w:before="240" w:after="240"/>
        <w:rPr>
          <w:lang w:val="el" w:eastAsia="el"/>
        </w:rPr>
      </w:pPr>
      <w:r>
        <w:rPr>
          <w:lang w:val="el" w:eastAsia="el"/>
        </w:rPr>
        <w:t xml:space="preserve">3. </w:t>
      </w:r>
      <w:r>
        <w:rPr>
          <w:b/>
          <w:bCs/>
          <w:lang w:val="el" w:eastAsia="el"/>
        </w:rPr>
        <w:t>Επιτελική Υπηρεσία Τελωνειακών Ελέγχων (Ε.Υ..Τ.Ε)</w:t>
      </w:r>
    </w:p>
    <w:p>
      <w:pPr>
        <w:spacing w:before="240" w:after="240"/>
        <w:rPr>
          <w:lang w:val="el" w:eastAsia="el"/>
        </w:rPr>
      </w:pPr>
      <w:r>
        <w:rPr>
          <w:lang w:val="el" w:eastAsia="el"/>
        </w:rPr>
        <w:t xml:space="preserve">4. </w:t>
      </w:r>
      <w:r>
        <w:rPr>
          <w:b/>
          <w:bCs/>
          <w:lang w:val="el" w:eastAsia="el"/>
        </w:rPr>
        <w:t>ΕΛ.Υ.Τ Αττικής και Θεσσαλονίκης</w:t>
      </w:r>
    </w:p>
    <w:p>
      <w:pPr>
        <w:spacing w:before="240" w:after="240"/>
        <w:rPr>
          <w:lang w:val="el" w:eastAsia="el"/>
        </w:rPr>
      </w:pPr>
      <w:r>
        <w:rPr>
          <w:lang w:val="el" w:eastAsia="el"/>
        </w:rPr>
        <w:t xml:space="preserve">5. </w:t>
      </w:r>
      <w:r>
        <w:rPr>
          <w:b/>
          <w:bCs/>
          <w:lang w:val="el" w:eastAsia="el"/>
        </w:rPr>
        <w:t>Αποδέκτες πίνακα Γ΄</w:t>
      </w:r>
    </w:p>
    <w:p>
      <w:pPr>
        <w:spacing w:before="240" w:after="240"/>
        <w:rPr>
          <w:lang w:val="el" w:eastAsia="el"/>
        </w:rPr>
      </w:pPr>
      <w:r>
        <w:rPr>
          <w:lang w:val="el" w:eastAsia="el"/>
        </w:rPr>
        <w:t xml:space="preserve">6. </w:t>
      </w:r>
      <w:r>
        <w:rPr>
          <w:b/>
          <w:bCs/>
          <w:lang w:val="el" w:eastAsia="el"/>
        </w:rPr>
        <w:t>Δ/νση Στρατηγικής Τεχνολογιών Πληροφορικής (ΔΙ.Σ.ΤΕ.ΠΛ) της Γ.Δ.ΗΛΕ.Δ</w:t>
      </w:r>
    </w:p>
    <w:p>
      <w:pPr>
        <w:spacing w:before="240" w:after="240"/>
        <w:rPr>
          <w:lang w:val="el" w:eastAsia="el"/>
        </w:rPr>
      </w:pPr>
      <w:r>
        <w:rPr>
          <w:b/>
          <w:bCs/>
          <w:lang w:val="el" w:eastAsia="el"/>
        </w:rPr>
        <w:t>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Υπουργού Ανάπτυξης</w:t>
      </w:r>
    </w:p>
    <w:p>
      <w:pPr>
        <w:spacing w:before="240" w:after="240"/>
        <w:rPr>
          <w:lang w:val="el" w:eastAsia="el"/>
        </w:rPr>
      </w:pPr>
      <w:r>
        <w:rPr>
          <w:lang w:val="el" w:eastAsia="el"/>
        </w:rPr>
        <w:t xml:space="preserve">4. </w:t>
      </w:r>
      <w:r>
        <w:rPr>
          <w:b/>
          <w:bCs/>
          <w:lang w:val="el" w:eastAsia="el"/>
        </w:rPr>
        <w:t>Γραφείο Υφυπουργού Ανάπτυξης ΓΓΒ</w:t>
      </w:r>
    </w:p>
    <w:p>
      <w:pPr>
        <w:spacing w:before="240" w:after="240"/>
        <w:rPr>
          <w:lang w:val="el" w:eastAsia="el"/>
        </w:rPr>
      </w:pPr>
      <w:r>
        <w:rPr>
          <w:lang w:val="el" w:eastAsia="el"/>
        </w:rPr>
        <w:t xml:space="preserve">5. </w:t>
      </w:r>
      <w:r>
        <w:rPr>
          <w:b/>
          <w:bCs/>
          <w:lang w:val="el" w:eastAsia="el"/>
        </w:rPr>
        <w:t>Γραφείο Υπουργού Υποδομών και Μεταφορών</w:t>
      </w:r>
    </w:p>
    <w:p>
      <w:pPr>
        <w:spacing w:before="240" w:after="240"/>
        <w:rPr>
          <w:lang w:val="el" w:eastAsia="el"/>
        </w:rPr>
      </w:pPr>
      <w:r>
        <w:rPr>
          <w:lang w:val="el" w:eastAsia="el"/>
        </w:rPr>
        <w:t xml:space="preserve">6. </w:t>
      </w:r>
      <w:r>
        <w:rPr>
          <w:b/>
          <w:bCs/>
          <w:lang w:val="el" w:eastAsia="el"/>
        </w:rPr>
        <w:t>Γραφείο Υπουργού Εσωτερικών</w:t>
      </w:r>
    </w:p>
    <w:p>
      <w:pPr>
        <w:spacing w:before="240" w:after="240"/>
        <w:rPr>
          <w:lang w:val="el" w:eastAsia="el"/>
        </w:rPr>
      </w:pPr>
      <w:r>
        <w:rPr>
          <w:lang w:val="el" w:eastAsia="el"/>
        </w:rPr>
        <w:t xml:space="preserve">7. </w:t>
      </w:r>
      <w:r>
        <w:rPr>
          <w:b/>
          <w:bCs/>
          <w:lang w:val="el" w:eastAsia="el"/>
        </w:rPr>
        <w:t>Γενική Δ/νση Ηλεκτρονικής Διακυβέρνησης α) Δ/νση Ανάπτυξης Τελωνειακών, Ελεγκτικών και Επιχειρησιακών Εφαρμογών β) Δ/νση Επιχειρησιακών Διαδικασιών</w:t>
      </w:r>
      <w:hyperlink r:id="rId5" w:history="1">
        <w:r>
          <w:rPr>
            <w:rStyle w:val="Hyperlink"/>
            <w:b/>
            <w:bCs/>
            <w:color w:val="0000EE"/>
            <w:u w:color="0000EE"/>
            <w:lang w:val="el" w:eastAsia="el"/>
          </w:rPr>
          <w:t>date@aade.gr</w:t>
        </w:r>
      </w:hyperlink>
      <w:hyperlink r:id="rId6" w:history="1">
        <w:r>
          <w:rPr>
            <w:rStyle w:val="Hyperlink"/>
            <w:b/>
            <w:bCs/>
            <w:color w:val="0000EE"/>
            <w:u w:color="0000EE"/>
            <w:lang w:val="el" w:eastAsia="el"/>
          </w:rPr>
          <w:t>diepidi@aade.gr</w:t>
        </w:r>
      </w:hyperlink>
    </w:p>
    <w:p>
      <w:pPr>
        <w:spacing w:before="240" w:after="240"/>
        <w:rPr>
          <w:lang w:val="el" w:eastAsia="el"/>
        </w:rPr>
      </w:pPr>
      <w:r>
        <w:rPr>
          <w:b/>
          <w:bCs/>
          <w:lang w:val="el" w:eastAsia="el"/>
        </w:rPr>
        <w:t xml:space="preserve">8. </w:t>
      </w:r>
      <w:r>
        <w:rPr>
          <w:b/>
          <w:bCs/>
          <w:lang w:val="el" w:eastAsia="el"/>
        </w:rPr>
        <w:t>Δ/νση Υπηρεσιών Δεδομένων (Δ.ΥΠΗ.ΔΕΔ)</w:t>
      </w:r>
      <w:hyperlink r:id="rId7" w:history="1">
        <w:r>
          <w:rPr>
            <w:rStyle w:val="Hyperlink"/>
            <w:b/>
            <w:bCs/>
            <w:color w:val="0000EE"/>
            <w:u w:color="0000EE"/>
            <w:lang w:val="el" w:eastAsia="el"/>
          </w:rPr>
          <w:t>dypided@aade.gr</w:t>
        </w:r>
      </w:hyperlink>
    </w:p>
    <w:p>
      <w:pPr>
        <w:spacing w:before="240" w:after="240"/>
        <w:rPr>
          <w:lang w:val="el" w:eastAsia="el"/>
        </w:rPr>
      </w:pPr>
      <w:r>
        <w:rPr>
          <w:b/>
          <w:bCs/>
          <w:lang w:val="el" w:eastAsia="el"/>
        </w:rPr>
        <w:t xml:space="preserve">9.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και Χημικών Προϊόντων</w:t>
      </w:r>
      <w:hyperlink r:id="rId8" w:history="1">
        <w:r>
          <w:rPr>
            <w:rStyle w:val="Hyperlink"/>
            <w:b/>
            <w:bCs/>
            <w:color w:val="0000EE"/>
            <w:u w:color="0000EE"/>
            <w:lang w:val="el" w:eastAsia="el"/>
          </w:rPr>
          <w:t>devxp.gcsl@aade.gr</w:t>
        </w:r>
      </w:hyperlink>
    </w:p>
    <w:p>
      <w:pPr>
        <w:spacing w:before="240" w:after="240"/>
        <w:rPr>
          <w:lang w:val="el" w:eastAsia="el"/>
        </w:rPr>
      </w:pPr>
      <w:r>
        <w:rPr>
          <w:b/>
          <w:bCs/>
          <w:lang w:val="el" w:eastAsia="el"/>
        </w:rPr>
        <w:t xml:space="preserve">10. </w:t>
      </w:r>
      <w:r>
        <w:rPr>
          <w:b/>
          <w:bCs/>
          <w:lang w:val="el" w:eastAsia="el"/>
        </w:rPr>
        <w:t xml:space="preserve">Υπουργείο Ανάπτυξης, Γενική Γραμματεία Βιομηχανίας, Γενική Δ/νση Βιομηχανικών Υποδομών και Επιχειρησιακού Περιβάλλοντος α) Δ/νση Πολιτικής Ποιότητας και Μετρολογίας, email: </w:t>
      </w:r>
      <w:hyperlink r:id="rId9" w:history="1">
        <w:r>
          <w:rPr>
            <w:rStyle w:val="Hyperlink"/>
            <w:b/>
            <w:bCs/>
            <w:color w:val="0000EE"/>
            <w:u w:color="0000EE"/>
            <w:lang w:val="el" w:eastAsia="el"/>
          </w:rPr>
          <w:t>Geormas@mindev.gov.gr</w:t>
        </w:r>
      </w:hyperlink>
      <w:r>
        <w:rPr>
          <w:b/>
          <w:bCs/>
          <w:lang w:val="el" w:eastAsia="el"/>
        </w:rPr>
        <w:t xml:space="preserve"> β) Δ/νση Αδειοδότησης Επιχειρήσεων και Επιχειρηματικών Πάρκων, email: </w:t>
      </w:r>
      <w:hyperlink r:id="rId10" w:history="1">
        <w:r>
          <w:rPr>
            <w:rStyle w:val="Hyperlink"/>
            <w:b/>
            <w:bCs/>
            <w:color w:val="0000EE"/>
            <w:u w:color="0000EE"/>
            <w:lang w:val="el" w:eastAsia="el"/>
          </w:rPr>
          <w:t>papanikolaou@mindev.gov.gr</w:t>
        </w:r>
      </w:hyperlink>
    </w:p>
    <w:p>
      <w:pPr>
        <w:spacing w:before="240" w:after="240"/>
        <w:rPr>
          <w:lang w:val="el" w:eastAsia="el"/>
        </w:rPr>
      </w:pPr>
      <w:r>
        <w:rPr>
          <w:b/>
          <w:bCs/>
          <w:lang w:val="el" w:eastAsia="el"/>
        </w:rPr>
        <w:t xml:space="preserve">11. </w:t>
      </w:r>
      <w:r>
        <w:rPr>
          <w:b/>
          <w:bCs/>
          <w:lang w:val="el" w:eastAsia="el"/>
        </w:rPr>
        <w:t xml:space="preserve">Υπουργείο Υποδομών και Μεταφορών, Γενική Γραμματεία Μεταφορών, Γενική Δ/νση Οχημάτων και Εγκαταστάσεων α) Δ/νση Τεχνικού Ελέγχου και Εγκαταστάσεων Εξυπηρέτησης Οχημάτων email: </w:t>
      </w:r>
      <w:hyperlink r:id="rId11" w:history="1">
        <w:r>
          <w:rPr>
            <w:rStyle w:val="Hyperlink"/>
            <w:b/>
            <w:bCs/>
            <w:color w:val="0000EE"/>
            <w:u w:color="0000EE"/>
            <w:lang w:val="el" w:eastAsia="el"/>
          </w:rPr>
          <w:t>p.platanitis@yme.gov.gr</w:t>
        </w:r>
      </w:hyperlink>
      <w:r>
        <w:rPr>
          <w:b/>
          <w:bCs/>
          <w:lang w:val="el" w:eastAsia="el"/>
        </w:rPr>
        <w:t xml:space="preserve"> β) Δ/νση Εποπτείας και Ελέγχου email: </w:t>
      </w:r>
      <w:hyperlink r:id="rId12" w:history="1">
        <w:r>
          <w:rPr>
            <w:rStyle w:val="Hyperlink"/>
            <w:b/>
            <w:bCs/>
            <w:color w:val="0000EE"/>
            <w:u w:color="0000EE"/>
            <w:lang w:val="el" w:eastAsia="el"/>
          </w:rPr>
          <w:t>a.kouzis@yme.gov.gr</w:t>
        </w:r>
      </w:hyperlink>
    </w:p>
    <w:p>
      <w:pPr>
        <w:spacing w:before="240" w:after="240"/>
        <w:rPr>
          <w:lang w:val="el" w:eastAsia="el"/>
        </w:rPr>
      </w:pPr>
      <w:r>
        <w:rPr>
          <w:b/>
          <w:bCs/>
          <w:lang w:val="el" w:eastAsia="el"/>
        </w:rPr>
        <w:t xml:space="preserve">12. </w:t>
      </w:r>
      <w:r>
        <w:rPr>
          <w:b/>
          <w:bCs/>
          <w:lang w:val="el" w:eastAsia="el"/>
        </w:rPr>
        <w:t>Υπουργείο Περιβάλλοντος και Ενέργειας</w:t>
      </w:r>
      <w:hyperlink r:id="rId13" w:history="1">
        <w:r>
          <w:rPr>
            <w:rStyle w:val="Hyperlink"/>
            <w:b/>
            <w:bCs/>
            <w:color w:val="0000EE"/>
            <w:u w:color="0000EE"/>
            <w:lang w:val="el" w:eastAsia="el"/>
          </w:rPr>
          <w:t>info@ypen.gov.gr</w:t>
        </w:r>
      </w:hyperlink>
    </w:p>
    <w:p>
      <w:pPr>
        <w:spacing w:before="240" w:after="240"/>
        <w:rPr>
          <w:lang w:val="el" w:eastAsia="el"/>
        </w:rPr>
      </w:pPr>
      <w:r>
        <w:rPr>
          <w:b/>
          <w:bCs/>
          <w:lang w:val="el" w:eastAsia="el"/>
        </w:rPr>
        <w:t xml:space="preserve">13. </w:t>
      </w:r>
      <w:r>
        <w:rPr>
          <w:b/>
          <w:bCs/>
          <w:lang w:val="el" w:eastAsia="el"/>
        </w:rPr>
        <w:t xml:space="preserve">Γενική Δ/νση Δίωξης Οικονομικού Εγκλήματος (ΣΔΟΕ) </w:t>
      </w:r>
      <w:hyperlink r:id="rId14" w:history="1">
        <w:r>
          <w:rPr>
            <w:rStyle w:val="Hyperlink"/>
            <w:b/>
            <w:bCs/>
            <w:color w:val="0000EE"/>
            <w:u w:color="0000EE"/>
            <w:lang w:val="el" w:eastAsia="el"/>
          </w:rPr>
          <w:t>gdsdoe@sdoe.gr</w:t>
        </w:r>
      </w:hyperlink>
    </w:p>
    <w:p>
      <w:pPr>
        <w:spacing w:before="240" w:after="240"/>
        <w:rPr>
          <w:lang w:val="el" w:eastAsia="el"/>
        </w:rPr>
      </w:pPr>
      <w:r>
        <w:rPr>
          <w:b/>
          <w:bCs/>
          <w:lang w:val="el" w:eastAsia="el"/>
        </w:rPr>
        <w:t xml:space="preserve">14. </w:t>
      </w:r>
      <w:r>
        <w:rPr>
          <w:b/>
          <w:bCs/>
          <w:lang w:val="el" w:eastAsia="el"/>
        </w:rPr>
        <w:t xml:space="preserve">Υπηρεσίες Ερευνών και Διασφάλισης Δημοσίων Εσόδων (ΥΕΔΔΕ) </w:t>
      </w:r>
      <w:hyperlink r:id="rId15" w:history="1">
        <w:r>
          <w:rPr>
            <w:rStyle w:val="Hyperlink"/>
            <w:b/>
            <w:bCs/>
            <w:color w:val="0000EE"/>
            <w:u w:color="0000EE"/>
            <w:lang w:val="el" w:eastAsia="el"/>
          </w:rPr>
          <w:t>yedde.attikis@aade.gr</w:t>
        </w:r>
      </w:hyperlink>
    </w:p>
    <w:p>
      <w:pPr>
        <w:spacing w:before="240" w:after="240"/>
        <w:rPr>
          <w:lang w:val="el" w:eastAsia="el"/>
        </w:rPr>
      </w:pPr>
      <w:r>
        <w:rPr>
          <w:b/>
          <w:bCs/>
          <w:lang w:val="el" w:eastAsia="el"/>
        </w:rPr>
        <w:t xml:space="preserve">15. </w:t>
      </w:r>
      <w:r>
        <w:rPr>
          <w:b/>
          <w:bCs/>
          <w:lang w:val="el" w:eastAsia="el"/>
        </w:rPr>
        <w:t xml:space="preserve">Συντονιστικό Επιχειρησιακό Κέντρο (ΣΕΚ) </w:t>
      </w:r>
      <w:hyperlink r:id="rId16" w:history="1">
        <w:r>
          <w:rPr>
            <w:rStyle w:val="Hyperlink"/>
            <w:b/>
            <w:bCs/>
            <w:color w:val="0000EE"/>
            <w:u w:color="0000EE"/>
            <w:lang w:val="el" w:eastAsia="el"/>
          </w:rPr>
          <w:t>sek@sek.gov.gr</w:t>
        </w:r>
      </w:hyperlink>
    </w:p>
    <w:p>
      <w:pPr>
        <w:spacing w:before="240" w:after="240"/>
        <w:rPr>
          <w:lang w:val="el" w:eastAsia="el"/>
        </w:rPr>
      </w:pPr>
      <w:r>
        <w:rPr>
          <w:b/>
          <w:bCs/>
          <w:lang w:val="el" w:eastAsia="el"/>
        </w:rPr>
        <w:t xml:space="preserve">16. </w:t>
      </w:r>
      <w:r>
        <w:rPr>
          <w:b/>
          <w:bCs/>
          <w:lang w:val="el" w:eastAsia="el"/>
        </w:rPr>
        <w:t>Φορολογική και Τελωνειακή Ακαδημία (ΦΟ.ΤΑ)</w:t>
      </w:r>
      <w:hyperlink r:id="rId17" w:history="1">
        <w:r>
          <w:rPr>
            <w:rStyle w:val="Hyperlink"/>
            <w:b/>
            <w:bCs/>
            <w:color w:val="0000EE"/>
            <w:u w:color="0000EE"/>
            <w:lang w:val="el" w:eastAsia="el"/>
          </w:rPr>
          <w:t>akadimia@aade.gr</w:t>
        </w:r>
      </w:hyperlink>
    </w:p>
    <w:p>
      <w:pPr>
        <w:spacing w:before="240" w:after="240"/>
        <w:rPr>
          <w:lang w:val="el" w:eastAsia="el"/>
        </w:rPr>
      </w:pPr>
      <w:r>
        <w:rPr>
          <w:b/>
          <w:bCs/>
          <w:lang w:val="el" w:eastAsia="el"/>
        </w:rPr>
        <w:t xml:space="preserve">17. </w:t>
      </w:r>
      <w:r>
        <w:rPr>
          <w:b/>
          <w:bCs/>
          <w:lang w:val="el" w:eastAsia="el"/>
        </w:rPr>
        <w:t>Δ/νση Εσωτερικού Ελέγχου ΑΑΔΕ</w:t>
      </w:r>
      <w:hyperlink r:id="rId18" w:history="1">
        <w:r>
          <w:rPr>
            <w:rStyle w:val="Hyperlink"/>
            <w:b/>
            <w:bCs/>
            <w:color w:val="0000EE"/>
            <w:u w:color="0000EE"/>
            <w:lang w:val="el" w:eastAsia="el"/>
          </w:rPr>
          <w:t>desel@aade.gr</w:t>
        </w:r>
      </w:hyperlink>
    </w:p>
    <w:p>
      <w:pPr>
        <w:spacing w:before="240" w:after="240"/>
        <w:rPr>
          <w:lang w:val="el" w:eastAsia="el"/>
        </w:rPr>
      </w:pPr>
      <w:r>
        <w:rPr>
          <w:b/>
          <w:bCs/>
          <w:lang w:val="el" w:eastAsia="el"/>
        </w:rPr>
        <w:t xml:space="preserve">18. </w:t>
      </w:r>
      <w:r>
        <w:rPr>
          <w:b/>
          <w:bCs/>
          <w:lang w:val="el" w:eastAsia="el"/>
        </w:rPr>
        <w:t>Δ/νση Νομικής Υποστήριξης ΑΑΔΕ</w:t>
      </w:r>
      <w:hyperlink r:id="rId19" w:history="1">
        <w:r>
          <w:rPr>
            <w:rStyle w:val="Hyperlink"/>
            <w:b/>
            <w:bCs/>
            <w:color w:val="0000EE"/>
            <w:u w:color="0000EE"/>
            <w:lang w:val="el" w:eastAsia="el"/>
          </w:rPr>
          <w:t>aade.legal@aade.gr</w:t>
        </w:r>
      </w:hyperlink>
    </w:p>
    <w:p>
      <w:pPr>
        <w:spacing w:before="240" w:after="240"/>
        <w:rPr>
          <w:lang w:val="el" w:eastAsia="el"/>
        </w:rPr>
      </w:pPr>
      <w:r>
        <w:rPr>
          <w:b/>
          <w:bCs/>
          <w:lang w:val="el" w:eastAsia="el"/>
        </w:rPr>
        <w:t xml:space="preserve">19. </w:t>
      </w:r>
      <w:r>
        <w:rPr>
          <w:b/>
          <w:bCs/>
          <w:lang w:val="el" w:eastAsia="el"/>
        </w:rPr>
        <w:t>Δ/νση Επικοινωνίας ΑΑΔΕ</w:t>
      </w:r>
      <w:hyperlink r:id="rId20" w:history="1">
        <w:r>
          <w:rPr>
            <w:rStyle w:val="Hyperlink"/>
            <w:b/>
            <w:bCs/>
            <w:color w:val="0000EE"/>
            <w:u w:color="0000EE"/>
            <w:lang w:val="el" w:eastAsia="el"/>
          </w:rPr>
          <w:t>media@aade.gr</w:t>
        </w:r>
      </w:hyperlink>
    </w:p>
    <w:p>
      <w:pPr>
        <w:spacing w:before="240" w:after="240"/>
        <w:rPr>
          <w:lang w:val="el" w:eastAsia="el"/>
        </w:rPr>
      </w:pPr>
      <w:r>
        <w:rPr>
          <w:b/>
          <w:bCs/>
          <w:lang w:val="el" w:eastAsia="el"/>
        </w:rPr>
        <w:t xml:space="preserve">20. </w:t>
      </w:r>
      <w:r>
        <w:rPr>
          <w:b/>
          <w:bCs/>
          <w:lang w:val="el" w:eastAsia="el"/>
        </w:rPr>
        <w:t>Ελληνική Στατιστική Αρχή</w:t>
      </w:r>
      <w:hyperlink r:id="rId21" w:history="1">
        <w:r>
          <w:rPr>
            <w:rStyle w:val="Hyperlink"/>
            <w:b/>
            <w:bCs/>
            <w:color w:val="0000EE"/>
            <w:u w:color="0000EE"/>
            <w:lang w:val="el" w:eastAsia="el"/>
          </w:rPr>
          <w:t>elstat@statistics.gr</w:t>
        </w:r>
      </w:hyperlink>
    </w:p>
    <w:p>
      <w:pPr>
        <w:spacing w:before="240" w:after="240"/>
        <w:rPr>
          <w:lang w:val="el" w:eastAsia="el"/>
        </w:rPr>
      </w:pPr>
      <w:r>
        <w:rPr>
          <w:b/>
          <w:bCs/>
          <w:lang w:val="el" w:eastAsia="el"/>
        </w:rPr>
        <w:t xml:space="preserve">21. </w:t>
      </w:r>
      <w:r>
        <w:rPr>
          <w:b/>
          <w:bCs/>
          <w:lang w:val="el" w:eastAsia="el"/>
        </w:rPr>
        <w:t>Ελληνικά Πετρέλαια ΑΕ, Γενική Δ/νση Εφοδιασμού και Εμπορίας, Δ/νση Προγραμματισμού Παραγωγής, Τμήμα Προδιαγραφών και Σχέσεων με το Δημόσιο</w:t>
      </w:r>
      <w:hyperlink r:id="rId22" w:history="1">
        <w:r>
          <w:rPr>
            <w:rStyle w:val="Hyperlink"/>
            <w:b/>
            <w:bCs/>
            <w:color w:val="0000EE"/>
            <w:u w:color="0000EE"/>
            <w:lang w:val="el" w:eastAsia="el"/>
          </w:rPr>
          <w:t>info@helpe.gr</w:t>
        </w:r>
      </w:hyperlink>
    </w:p>
    <w:p>
      <w:pPr>
        <w:spacing w:before="240" w:after="240"/>
        <w:rPr>
          <w:lang w:val="el" w:eastAsia="el"/>
        </w:rPr>
      </w:pPr>
      <w:r>
        <w:rPr>
          <w:b/>
          <w:bCs/>
          <w:lang w:val="el" w:eastAsia="el"/>
        </w:rPr>
        <w:t xml:space="preserve">22. </w:t>
      </w:r>
      <w:r>
        <w:rPr>
          <w:b/>
          <w:bCs/>
          <w:lang w:val="el" w:eastAsia="el"/>
        </w:rPr>
        <w:t>ΜOTOR OIL (ΕΛΛΑΣ) AE, α) Διυλιστήρια Κορίνθου ΑΕ email:</w:t>
      </w:r>
      <w:hyperlink r:id="rId23" w:history="1">
        <w:r>
          <w:rPr>
            <w:rStyle w:val="Hyperlink"/>
            <w:b/>
            <w:bCs/>
            <w:color w:val="0000EE"/>
            <w:u w:color="0000EE"/>
            <w:lang w:val="el" w:eastAsia="el"/>
          </w:rPr>
          <w:t>motoroil.refinary@moh.gr</w:t>
        </w:r>
      </w:hyperlink>
      <w:r>
        <w:rPr>
          <w:b/>
          <w:bCs/>
          <w:lang w:val="el" w:eastAsia="el"/>
        </w:rPr>
        <w:t xml:space="preserve"> , β) Ηρώδου Αττικού 12 A, 15124 Μαρούσι,</w:t>
      </w:r>
      <w:hyperlink r:id="rId24"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23. </w:t>
      </w:r>
      <w:r>
        <w:rPr>
          <w:b/>
          <w:bCs/>
          <w:lang w:val="el" w:eastAsia="el"/>
        </w:rPr>
        <w:t>Ομοσπονδία Εκτελωνιστών Ελλάδας, Τσαμαδού 38,18531, Πειραιάς</w:t>
      </w:r>
      <w:hyperlink r:id="rId25"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24. </w:t>
      </w:r>
      <w:r>
        <w:rPr>
          <w:b/>
          <w:bCs/>
          <w:lang w:val="el" w:eastAsia="el"/>
        </w:rPr>
        <w:t>Σύλλογος Εκτελωνιστών Θεσσαλονίκης, Κουντουριώτου 13, 54626, Θεσσαλονίκη</w:t>
      </w:r>
      <w:hyperlink r:id="rId26" w:history="1">
        <w:r>
          <w:rPr>
            <w:rStyle w:val="Hyperlink"/>
            <w:b/>
            <w:bCs/>
            <w:color w:val="0000EE"/>
            <w:u w:color="0000EE"/>
            <w:lang w:val="el" w:eastAsia="el"/>
          </w:rPr>
          <w:t>info@seth.gr</w:t>
        </w:r>
      </w:hyperlink>
    </w:p>
    <w:p>
      <w:pPr>
        <w:spacing w:before="240" w:after="240"/>
        <w:rPr>
          <w:lang w:val="el" w:eastAsia="el"/>
        </w:rPr>
      </w:pPr>
      <w:r>
        <w:rPr>
          <w:b/>
          <w:bCs/>
          <w:lang w:val="el" w:eastAsia="el"/>
        </w:rPr>
        <w:t xml:space="preserve">25. </w:t>
      </w:r>
      <w:r>
        <w:rPr>
          <w:b/>
          <w:bCs/>
          <w:lang w:val="el" w:eastAsia="el"/>
        </w:rPr>
        <w:t xml:space="preserve">Σύλλογος Εκτελωνιστών Τελωνειακών Αντιπροσώπων Πειραιώς- Αθηνών, Τσαμαδού 38, 18531, Πειραιάς </w:t>
      </w:r>
      <w:hyperlink r:id="rId27" w:history="1">
        <w:r>
          <w:rPr>
            <w:rStyle w:val="Hyperlink"/>
            <w:b/>
            <w:bCs/>
            <w:color w:val="0000EE"/>
            <w:u w:color="0000EE"/>
            <w:lang w:val="el" w:eastAsia="el"/>
          </w:rPr>
          <w:t>info@syetapa.gr</w:t>
        </w:r>
      </w:hyperlink>
    </w:p>
    <w:p>
      <w:pPr>
        <w:spacing w:before="240" w:after="240"/>
        <w:rPr>
          <w:lang w:val="el" w:eastAsia="el"/>
        </w:rPr>
      </w:pPr>
      <w:r>
        <w:rPr>
          <w:b/>
          <w:bCs/>
          <w:lang w:val="el" w:eastAsia="el"/>
        </w:rPr>
        <w:t xml:space="preserve">26. </w:t>
      </w:r>
      <w:r>
        <w:rPr>
          <w:b/>
          <w:bCs/>
          <w:lang w:val="el" w:eastAsia="el"/>
        </w:rPr>
        <w:t xml:space="preserve">Οικονομικό Επιμελητήριο Ελλάδος, Μητροπόλεως 12-14, 10563, Αθήνα, email: </w:t>
      </w:r>
      <w:hyperlink r:id="rId28" w:history="1">
        <w:r>
          <w:rPr>
            <w:rStyle w:val="Hyperlink"/>
            <w:b/>
            <w:bCs/>
            <w:color w:val="0000EE"/>
            <w:u w:color="0000EE"/>
            <w:lang w:val="el" w:eastAsia="el"/>
          </w:rPr>
          <w:t>oee@oe-3.gr</w:t>
        </w:r>
      </w:hyperlink>
    </w:p>
    <w:p>
      <w:pPr>
        <w:spacing w:before="240" w:after="240"/>
        <w:rPr>
          <w:lang w:val="el" w:eastAsia="el"/>
        </w:rPr>
      </w:pPr>
      <w:r>
        <w:rPr>
          <w:b/>
          <w:bCs/>
          <w:lang w:val="el" w:eastAsia="el"/>
        </w:rPr>
        <w:t xml:space="preserve">27. </w:t>
      </w:r>
      <w:r>
        <w:rPr>
          <w:b/>
          <w:bCs/>
          <w:lang w:val="el" w:eastAsia="el"/>
        </w:rPr>
        <w:t>Κεντρική Ένωση Επιμελητηρίων Ελλάδος, Ακαδημίας 6, 10671, Αθήνα, email:</w:t>
      </w:r>
      <w:hyperlink r:id="rId29"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28. </w:t>
      </w:r>
      <w:r>
        <w:rPr>
          <w:b/>
          <w:bCs/>
          <w:lang w:val="el" w:eastAsia="el"/>
        </w:rPr>
        <w:t>Εμπορικό και Βιομηχανικό Επιμελητήριο Αθηνών, Ακαδημίας 7, 10671, Αθήνα, email:</w:t>
      </w:r>
      <w:hyperlink r:id="rId30"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29. </w:t>
      </w:r>
      <w:r>
        <w:rPr>
          <w:b/>
          <w:bCs/>
          <w:lang w:val="el" w:eastAsia="el"/>
        </w:rPr>
        <w:t xml:space="preserve">Εμπορικό και Βιομηχανικό Επιμελητήριο Πειραιώς, Λουδοβίκου 1, 18531, Πειραιάς, email: </w:t>
      </w:r>
      <w:hyperlink r:id="rId31" w:history="1">
        <w:r>
          <w:rPr>
            <w:rStyle w:val="Hyperlink"/>
            <w:b/>
            <w:bCs/>
            <w:color w:val="0000EE"/>
            <w:u w:color="0000EE"/>
            <w:lang w:val="el" w:eastAsia="el"/>
          </w:rPr>
          <w:t>evep@pcci.gr</w:t>
        </w:r>
      </w:hyperlink>
    </w:p>
    <w:p>
      <w:pPr>
        <w:spacing w:before="240" w:after="240"/>
        <w:rPr>
          <w:lang w:val="el" w:eastAsia="el"/>
        </w:rPr>
      </w:pPr>
      <w:r>
        <w:rPr>
          <w:b/>
          <w:bCs/>
          <w:lang w:val="el" w:eastAsia="el"/>
        </w:rPr>
        <w:t xml:space="preserve">30. </w:t>
      </w:r>
      <w:r>
        <w:rPr>
          <w:b/>
          <w:bCs/>
          <w:lang w:val="el" w:eastAsia="el"/>
        </w:rPr>
        <w:t xml:space="preserve">Εμπορικό και Βιομηχανικό Επιμελητήριο Θεσσαλονίκης, Τσιμισκή 29, 54624, Θεσσαλονίκη, email: </w:t>
      </w:r>
      <w:hyperlink r:id="rId32"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31. </w:t>
      </w:r>
      <w:r>
        <w:rPr>
          <w:b/>
          <w:bCs/>
          <w:lang w:val="el" w:eastAsia="el"/>
        </w:rPr>
        <w:t>Ένωση Εμπόρων Υγρών Καυσίμων Νομού Αττικής, Πάροδος Ταύρου 41, 18233, Αθήνα</w:t>
      </w:r>
      <w:hyperlink r:id="rId33" w:history="1">
        <w:r>
          <w:rPr>
            <w:rStyle w:val="Hyperlink"/>
            <w:b/>
            <w:bCs/>
            <w:color w:val="0000EE"/>
            <w:u w:color="0000EE"/>
            <w:lang w:val="el" w:eastAsia="el"/>
          </w:rPr>
          <w:t>info@ebna.gr</w:t>
        </w:r>
      </w:hyperlink>
    </w:p>
    <w:p>
      <w:pPr>
        <w:spacing w:before="240" w:after="240"/>
        <w:rPr>
          <w:lang w:val="el" w:eastAsia="el"/>
        </w:rPr>
      </w:pPr>
      <w:r>
        <w:rPr>
          <w:b/>
          <w:bCs/>
          <w:lang w:val="el" w:eastAsia="el"/>
        </w:rPr>
        <w:t xml:space="preserve">32. </w:t>
      </w:r>
      <w:r>
        <w:rPr>
          <w:b/>
          <w:bCs/>
          <w:lang w:val="el" w:eastAsia="el"/>
        </w:rPr>
        <w:t>Σύνδεσμος Επιχειρήσεων και Βιομηχανιών ΣΕΒ, Ξενοφώντος 5, 10557, Αθήνα, email:</w:t>
      </w:r>
      <w:hyperlink r:id="rId34"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33. </w:t>
      </w:r>
      <w:r>
        <w:rPr>
          <w:b/>
          <w:bCs/>
          <w:lang w:val="el" w:eastAsia="el"/>
        </w:rPr>
        <w:t>Ομοσπονδία Βενζινοπωλών Ελλάδος ΟΒΕ, email:</w:t>
      </w:r>
      <w:hyperlink r:id="rId35" w:history="1">
        <w:r>
          <w:rPr>
            <w:rStyle w:val="Hyperlink"/>
            <w:b/>
            <w:bCs/>
            <w:color w:val="0000EE"/>
            <w:u w:color="0000EE"/>
            <w:lang w:val="el" w:eastAsia="el"/>
          </w:rPr>
          <w:t>info@obe.gr</w:t>
        </w:r>
      </w:hyperlink>
    </w:p>
    <w:p>
      <w:pPr>
        <w:spacing w:before="240" w:after="240"/>
        <w:rPr>
          <w:lang w:val="el" w:eastAsia="el"/>
        </w:rPr>
      </w:pPr>
      <w:r>
        <w:rPr>
          <w:b/>
          <w:bCs/>
          <w:lang w:val="el" w:eastAsia="el"/>
        </w:rPr>
        <w:t xml:space="preserve">34. </w:t>
      </w:r>
      <w:r>
        <w:rPr>
          <w:b/>
          <w:bCs/>
          <w:lang w:val="el" w:eastAsia="el"/>
        </w:rPr>
        <w:t>Πανελλήνια Ομοσπονδία Πρατηριούχων Εμπόρων Καυσίμων (ΠΟΠΕΚ) email:</w:t>
      </w:r>
      <w:hyperlink r:id="rId36" w:history="1">
        <w:r>
          <w:rPr>
            <w:rStyle w:val="Hyperlink"/>
            <w:b/>
            <w:bCs/>
            <w:color w:val="0000EE"/>
            <w:u w:color="0000EE"/>
            <w:lang w:val="el" w:eastAsia="el"/>
          </w:rPr>
          <w:t>popek@popek.gr</w:t>
        </w:r>
      </w:hyperlink>
    </w:p>
    <w:p>
      <w:pPr>
        <w:spacing w:before="240" w:after="240"/>
        <w:rPr>
          <w:lang w:val="el" w:eastAsia="el"/>
        </w:rPr>
      </w:pPr>
      <w:r>
        <w:rPr>
          <w:b/>
          <w:bCs/>
          <w:lang w:val="el" w:eastAsia="el"/>
        </w:rPr>
        <w:t xml:space="preserve">35. </w:t>
      </w:r>
      <w:r>
        <w:rPr>
          <w:b/>
          <w:bCs/>
          <w:lang w:val="el" w:eastAsia="el"/>
        </w:rPr>
        <w:t>Σωματείο Εταιρειών Υποστήριξης Πρατηρίων Υγρών Καυσίμων και Ενέργειας (Σ.Ε.Υ.Π.Υ.Κ.Ε), Λεωφ. Μεσογείων</w:t>
      </w:r>
    </w:p>
    <w:p>
      <w:pPr>
        <w:spacing w:before="240" w:after="240"/>
        <w:rPr>
          <w:lang w:val="el" w:eastAsia="el"/>
        </w:rPr>
      </w:pPr>
      <w:r>
        <w:rPr>
          <w:b/>
          <w:bCs/>
          <w:lang w:val="el" w:eastAsia="el"/>
        </w:rPr>
        <w:t>15, 11527, Αθήνα, email:</w:t>
      </w:r>
      <w:hyperlink r:id="rId37" w:history="1">
        <w:r>
          <w:rPr>
            <w:rStyle w:val="Hyperlink"/>
            <w:b/>
            <w:bCs/>
            <w:color w:val="0000EE"/>
            <w:u w:color="0000EE"/>
            <w:lang w:val="el" w:eastAsia="el"/>
          </w:rPr>
          <w:t>info@seypyke.gr</w:t>
        </w:r>
      </w:hyperlink>
    </w:p>
    <w:p>
      <w:pPr>
        <w:spacing w:before="240" w:after="240"/>
        <w:rPr>
          <w:lang w:val="el" w:eastAsia="el"/>
        </w:rPr>
      </w:pPr>
      <w:r>
        <w:rPr>
          <w:b/>
          <w:bCs/>
          <w:lang w:val="el" w:eastAsia="el"/>
        </w:rPr>
        <w:t xml:space="preserve">36. </w:t>
      </w:r>
      <w:r>
        <w:rPr>
          <w:b/>
          <w:bCs/>
          <w:lang w:val="el" w:eastAsia="el"/>
        </w:rPr>
        <w:t xml:space="preserve">Σύνδεσμος Εταιρειών Εμπορίας Πετρελαιοειδών Ελλάδος (Σ.Ε.Ε.Π.Ε), Ίωνος Δραγούμη 46, 11528, Ιλίσια, email: </w:t>
      </w:r>
      <w:hyperlink r:id="rId38" w:history="1">
        <w:r>
          <w:rPr>
            <w:rStyle w:val="Hyperlink"/>
            <w:b/>
            <w:bCs/>
            <w:color w:val="0000EE"/>
            <w:u w:color="0000EE"/>
            <w:lang w:val="el" w:eastAsia="el"/>
          </w:rPr>
          <w:t>seepe@seepe.gr</w:t>
        </w:r>
      </w:hyperlink>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ΓΔΤ&amp;ΕΦΚ</w:t>
      </w:r>
    </w:p>
    <w:p>
      <w:pPr>
        <w:spacing w:before="240" w:after="240"/>
        <w:rPr>
          <w:lang w:val="el" w:eastAsia="el"/>
        </w:rPr>
      </w:pPr>
      <w:r>
        <w:rPr>
          <w:b/>
          <w:bCs/>
          <w:lang w:val="el" w:eastAsia="el"/>
        </w:rPr>
        <w:t xml:space="preserve">3. </w:t>
      </w:r>
      <w:r>
        <w:rPr>
          <w:b/>
          <w:bCs/>
          <w:lang w:val="el" w:eastAsia="el"/>
        </w:rPr>
        <w:t>Δ/νση Τελωνειακών Διαδικασιών</w:t>
      </w:r>
    </w:p>
    <w:p>
      <w:pPr>
        <w:spacing w:before="240" w:after="240"/>
        <w:rPr>
          <w:lang w:val="el" w:eastAsia="el"/>
        </w:rPr>
      </w:pPr>
      <w:r>
        <w:rPr>
          <w:b/>
          <w:bCs/>
          <w:lang w:val="el" w:eastAsia="el"/>
        </w:rPr>
        <w:t xml:space="preserve">4. </w:t>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5. </w:t>
      </w:r>
      <w:r>
        <w:rPr>
          <w:b/>
          <w:bCs/>
          <w:lang w:val="el" w:eastAsia="el"/>
        </w:rPr>
        <w:t>Δ/νση ΕΦΚ&amp;ΦΠΑ</w:t>
      </w:r>
    </w:p>
    <w:p>
      <w:pPr>
        <w:spacing w:before="240" w:after="240"/>
        <w:rPr>
          <w:lang w:val="el" w:eastAsia="el"/>
        </w:rPr>
      </w:pPr>
      <w:r>
        <w:rPr>
          <w:b/>
          <w:bCs/>
          <w:lang w:val="el" w:eastAsia="el"/>
        </w:rPr>
        <w:t xml:space="preserve">6. </w:t>
      </w:r>
      <w:r>
        <w:rPr>
          <w:b/>
          <w:bCs/>
          <w:lang w:val="el" w:eastAsia="el"/>
        </w:rPr>
        <w:t>Γενική Δ/νση Φορολογίας, Δ/νση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anikolaou@mindev.gov.gr" TargetMode="External" /><Relationship Id="rId11" Type="http://schemas.openxmlformats.org/officeDocument/2006/relationships/hyperlink" Target="mailto:p.platanitis@yme.gov.gr" TargetMode="External" /><Relationship Id="rId12" Type="http://schemas.openxmlformats.org/officeDocument/2006/relationships/hyperlink" Target="mailto:a.kouzis@yme.gov.gr" TargetMode="External" /><Relationship Id="rId13" Type="http://schemas.openxmlformats.org/officeDocument/2006/relationships/hyperlink" Target="mailto:info@ypen.gov.gr" TargetMode="External" /><Relationship Id="rId14" Type="http://schemas.openxmlformats.org/officeDocument/2006/relationships/hyperlink" Target="mailto:gdsdoe@sdoe.gr" TargetMode="External" /><Relationship Id="rId15" Type="http://schemas.openxmlformats.org/officeDocument/2006/relationships/hyperlink" Target="mailto:yedde.attikis@aade.gr" TargetMode="External" /><Relationship Id="rId16" Type="http://schemas.openxmlformats.org/officeDocument/2006/relationships/hyperlink" Target="mailto:sek@sek.gov.gr" TargetMode="External" /><Relationship Id="rId17" Type="http://schemas.openxmlformats.org/officeDocument/2006/relationships/hyperlink" Target="mailto:akadimia@aade.gr" TargetMode="External" /><Relationship Id="rId18" Type="http://schemas.openxmlformats.org/officeDocument/2006/relationships/hyperlink" Target="mailto:desel@aade.gr" TargetMode="External" /><Relationship Id="rId19" Type="http://schemas.openxmlformats.org/officeDocument/2006/relationships/hyperlink" Target="mailto:aade.legal@aade.gr" TargetMode="External" /><Relationship Id="rId2" Type="http://schemas.openxmlformats.org/officeDocument/2006/relationships/webSettings" Target="webSettings.xml" /><Relationship Id="rId20" Type="http://schemas.openxmlformats.org/officeDocument/2006/relationships/hyperlink" Target="mailto:media@aade.gr" TargetMode="External" /><Relationship Id="rId21" Type="http://schemas.openxmlformats.org/officeDocument/2006/relationships/hyperlink" Target="mailto:elstat@statistics.gr" TargetMode="External" /><Relationship Id="rId22" Type="http://schemas.openxmlformats.org/officeDocument/2006/relationships/hyperlink" Target="mailto:info@helpe.gr" TargetMode="External" /><Relationship Id="rId23" Type="http://schemas.openxmlformats.org/officeDocument/2006/relationships/hyperlink" Target="mailto:motoroil.refinary@moh.gr" TargetMode="External" /><Relationship Id="rId24" Type="http://schemas.openxmlformats.org/officeDocument/2006/relationships/hyperlink" Target="mailto:info@moh.gr" TargetMode="External" /><Relationship Id="rId25" Type="http://schemas.openxmlformats.org/officeDocument/2006/relationships/hyperlink" Target="mailto:oete@oete.gr" TargetMode="External" /><Relationship Id="rId26" Type="http://schemas.openxmlformats.org/officeDocument/2006/relationships/hyperlink" Target="mailto:info@seth.gr" TargetMode="External" /><Relationship Id="rId27" Type="http://schemas.openxmlformats.org/officeDocument/2006/relationships/hyperlink" Target="mailto:info@syetapa.gr" TargetMode="External" /><Relationship Id="rId28" Type="http://schemas.openxmlformats.org/officeDocument/2006/relationships/hyperlink" Target="mailto:oee@oe-3.gr" TargetMode="External" /><Relationship Id="rId29" Type="http://schemas.openxmlformats.org/officeDocument/2006/relationships/hyperlink" Target="mailto:keeuhcci@uhc.gr" TargetMode="External" /><Relationship Id="rId3" Type="http://schemas.openxmlformats.org/officeDocument/2006/relationships/fontTable" Target="fontTable.xml" /><Relationship Id="rId30" Type="http://schemas.openxmlformats.org/officeDocument/2006/relationships/hyperlink" Target="mailto:info@acci.gr" TargetMode="External" /><Relationship Id="rId31" Type="http://schemas.openxmlformats.org/officeDocument/2006/relationships/hyperlink" Target="mailto:evep@pcci.gr" TargetMode="External" /><Relationship Id="rId32" Type="http://schemas.openxmlformats.org/officeDocument/2006/relationships/hyperlink" Target="mailto:root@ebeth.gr" TargetMode="External" /><Relationship Id="rId33" Type="http://schemas.openxmlformats.org/officeDocument/2006/relationships/hyperlink" Target="mailto:info@ebna.gr" TargetMode="External" /><Relationship Id="rId34" Type="http://schemas.openxmlformats.org/officeDocument/2006/relationships/hyperlink" Target="mailto:info@sev.org.gr" TargetMode="External" /><Relationship Id="rId35" Type="http://schemas.openxmlformats.org/officeDocument/2006/relationships/hyperlink" Target="mailto:info@obe.gr" TargetMode="External" /><Relationship Id="rId36" Type="http://schemas.openxmlformats.org/officeDocument/2006/relationships/hyperlink" Target="mailto:popek@popek.gr" TargetMode="External" /><Relationship Id="rId37" Type="http://schemas.openxmlformats.org/officeDocument/2006/relationships/hyperlink" Target="mailto:info@seypyke.gr" TargetMode="External" /><Relationship Id="rId38" Type="http://schemas.openxmlformats.org/officeDocument/2006/relationships/hyperlink" Target="mailto:seepe@seepe.gr" TargetMode="External" /><Relationship Id="rId39" Type="http://schemas.openxmlformats.org/officeDocument/2006/relationships/theme" Target="theme/theme1.xml" /><Relationship Id="rId4" Type="http://schemas.openxmlformats.org/officeDocument/2006/relationships/hyperlink" Target="mailto:dstepdrugs@aade.gr" TargetMode="Externa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hyperlink" Target="mailto:date@aade.gr" TargetMode="External" /><Relationship Id="rId6" Type="http://schemas.openxmlformats.org/officeDocument/2006/relationships/hyperlink" Target="mailto:diepidi@aade.gr" TargetMode="External" /><Relationship Id="rId7" Type="http://schemas.openxmlformats.org/officeDocument/2006/relationships/hyperlink" Target="mailto:dypided@aade.gr" TargetMode="External" /><Relationship Id="rId8" Type="http://schemas.openxmlformats.org/officeDocument/2006/relationships/hyperlink" Target="mailto:devxp.gcsl@aade.gr" TargetMode="External" /><Relationship Id="rId9" Type="http://schemas.openxmlformats.org/officeDocument/2006/relationships/hyperlink" Target="mailto:Geormas@mindev.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